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header3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numPr>
          <w:ilvl w:val="0"/>
          <w:numId w:val="1"/>
        </w:numPr>
        <w:spacing w:before="240" w:after="120"/>
        <w:outlineLvl w:val="0"/>
        <w:rPr/>
      </w:pPr>
      <w:hyperlink r:id="rId2">
        <w:bookmarkStart w:id="0" w:name="anchor0"/>
        <w:bookmarkEnd w:id="0"/>
        <w:r>
          <w:rPr>
            <w:rStyle w:val="-"/>
          </w:rPr>
          <w:t>Постановление комитета государственного регулирования тарифов Саратовской области от 29 ноября 2024 г. N 79 "Об установлении стандартизированных тарифных ставок и формул для расчета платы за технологическое присоединение энергопринимающих устройств (энергетических установок) к электрическим сетям территориальных сетевых организаций Саратовской области на 2025 год"</w:t>
        </w:r>
      </w:hyperlink>
    </w:p>
    <w:p>
      <w:pPr>
        <w:pStyle w:val="Style19"/>
        <w:rPr/>
      </w:pPr>
      <w:r>
        <w:rPr/>
        <w:t>С изменениями и дополнениями от:</w:t>
      </w:r>
    </w:p>
    <w:p>
      <w:pPr>
        <w:pStyle w:val="Style19"/>
        <w:rPr/>
      </w:pPr>
      <w:r>
        <w:rPr/>
        <w:t>14 февраля, 11 апреля, 16 мая, 20 июня 2025 г.</w:t>
      </w:r>
    </w:p>
    <w:p>
      <w:pPr>
        <w:pStyle w:val="1"/>
        <w:numPr>
          <w:ilvl w:val="0"/>
          <w:numId w:val="1"/>
        </w:numPr>
        <w:outlineLvl w:val="0"/>
        <w:rPr/>
      </w:pPr>
      <w:bookmarkStart w:id="1" w:name="anchor1100"/>
      <w:bookmarkEnd w:id="1"/>
      <w:r>
        <w:rPr/>
        <w:t>Стандартизированная тарифная ставка С1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</w:t>
      </w:r>
    </w:p>
    <w:p>
      <w:pPr>
        <w:pStyle w:val="Style12"/>
        <w:rPr/>
      </w:pPr>
      <w:r>
        <w:rPr/>
      </w:r>
    </w:p>
    <w:tbl>
      <w:tblPr>
        <w:tblW w:w="1020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  <w:gridCol w:w="2984"/>
        <w:gridCol w:w="2984"/>
        <w:gridCol w:w="2706"/>
      </w:tblGrid>
      <w:tr>
        <w:trPr/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Обозначение</w:t>
            </w:r>
          </w:p>
        </w:tc>
        <w:tc>
          <w:tcPr>
            <w:tcW w:w="596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Наименование ставки</w:t>
            </w:r>
          </w:p>
        </w:tc>
        <w:tc>
          <w:tcPr>
            <w:tcW w:w="27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Стандартизированная ставка в ценах периода регулирования (руб. за одно присоединение) (без учета НДС)</w:t>
            </w:r>
          </w:p>
        </w:tc>
      </w:tr>
      <w:tr>
        <w:trPr/>
        <w:tc>
          <w:tcPr>
            <w:tcW w:w="153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С1</w:t>
            </w:r>
          </w:p>
        </w:tc>
        <w:tc>
          <w:tcPr>
            <w:tcW w:w="2984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/>
            </w:pPr>
            <w:r>
              <w:rPr/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заявителю и проверку сетевой организацией выполнения технических условий заявителем</w:t>
            </w:r>
          </w:p>
        </w:tc>
        <w:tc>
          <w:tcPr>
            <w:tcW w:w="298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/>
            </w:pPr>
            <w:r>
              <w:rPr/>
              <w:t xml:space="preserve">для случаев технологического присоединения объектов Заявителей, указанных в пунктах </w:t>
            </w:r>
            <w:hyperlink r:id="rId3">
              <w:r>
                <w:rPr>
                  <w:rStyle w:val="-"/>
                </w:rPr>
                <w:t>пунктах 12(1)</w:t>
              </w:r>
            </w:hyperlink>
            <w:r>
              <w:rPr/>
              <w:t xml:space="preserve">, </w:t>
            </w:r>
            <w:hyperlink r:id="rId4">
              <w:r>
                <w:rPr>
                  <w:rStyle w:val="-"/>
                </w:rPr>
                <w:t>13(2)</w:t>
              </w:r>
            </w:hyperlink>
            <w:r>
              <w:rPr/>
              <w:t xml:space="preserve"> - </w:t>
            </w:r>
            <w:hyperlink r:id="rId5">
              <w:r>
                <w:rPr>
                  <w:rStyle w:val="-"/>
                </w:rPr>
                <w:t>13(5)</w:t>
              </w:r>
            </w:hyperlink>
            <w:r>
              <w:rPr/>
              <w:t xml:space="preserve"> и </w:t>
            </w:r>
            <w:hyperlink r:id="rId6">
              <w:r>
                <w:rPr>
                  <w:rStyle w:val="-"/>
                </w:rPr>
                <w:t>14</w:t>
              </w:r>
            </w:hyperlink>
            <w:r>
              <w:rPr/>
              <w:t xml:space="preserve"> Правил технологического присоединения, если технологическое присоединение энергопринимающих устройств таких Заявителей осуществляется на уровне напряжения 0,4 кВ и ниже</w:t>
            </w:r>
          </w:p>
        </w:tc>
        <w:tc>
          <w:tcPr>
            <w:tcW w:w="270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21 387,32</w:t>
            </w:r>
          </w:p>
        </w:tc>
      </w:tr>
      <w:tr>
        <w:trPr/>
        <w:tc>
          <w:tcPr>
            <w:tcW w:w="153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4" w:type="dxa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/>
            </w:pPr>
            <w:r>
              <w:rPr/>
              <w:t xml:space="preserve">для случаев технологического присоединения объектов Заявителей, не предусмотренных </w:t>
            </w:r>
            <w:hyperlink r:id="rId7">
              <w:r>
                <w:rPr>
                  <w:rStyle w:val="-"/>
                </w:rPr>
                <w:t>абзацем шестым пункта 24</w:t>
              </w:r>
            </w:hyperlink>
            <w:r>
              <w:rPr/>
              <w:t xml:space="preserve"> Методических указаний</w:t>
            </w:r>
          </w:p>
        </w:tc>
        <w:tc>
          <w:tcPr>
            <w:tcW w:w="270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28 827,75</w:t>
            </w:r>
          </w:p>
        </w:tc>
      </w:tr>
      <w:tr>
        <w:trPr/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С1.1</w:t>
            </w:r>
          </w:p>
        </w:tc>
        <w:tc>
          <w:tcPr>
            <w:tcW w:w="596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/>
            </w:pPr>
            <w:r>
              <w:rPr/>
              <w:t>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</w:t>
            </w:r>
          </w:p>
        </w:tc>
        <w:tc>
          <w:tcPr>
            <w:tcW w:w="270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11 003,84</w:t>
            </w:r>
          </w:p>
        </w:tc>
      </w:tr>
      <w:tr>
        <w:trPr/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С1.2.1</w:t>
            </w:r>
          </w:p>
        </w:tc>
        <w:tc>
          <w:tcPr>
            <w:tcW w:w="596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/>
            </w:pPr>
            <w:r>
              <w:rPr/>
              <w:t xml:space="preserve">стандартизированная тарифная ставка на покрытие расходов на выдачу уведомления об обеспечении сетевой организацией возможности присоединения к электрическим сетям Заявителям, указанным в </w:t>
            </w:r>
            <w:hyperlink r:id="rId8">
              <w:r>
                <w:rPr>
                  <w:rStyle w:val="-"/>
                </w:rPr>
                <w:t>абзаце шестом пункта 24</w:t>
              </w:r>
            </w:hyperlink>
            <w:r>
              <w:rPr/>
              <w:t xml:space="preserve">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70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10 383,48</w:t>
            </w:r>
          </w:p>
        </w:tc>
      </w:tr>
      <w:tr>
        <w:trPr/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С1.2.2</w:t>
            </w:r>
          </w:p>
        </w:tc>
        <w:tc>
          <w:tcPr>
            <w:tcW w:w="596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/>
            </w:pPr>
            <w:r>
              <w:rPr/>
              <w:t xml:space="preserve">стандартизированная тарифная ставка на покрытие расходов на проверку выполнения технических условий Заявителями, указанными в </w:t>
            </w:r>
            <w:hyperlink r:id="rId9">
              <w:r>
                <w:rPr>
                  <w:rStyle w:val="-"/>
                </w:rPr>
                <w:t>абзаце седьмом пункта 24</w:t>
              </w:r>
            </w:hyperlink>
            <w:r>
              <w:rPr/>
              <w:t xml:space="preserve">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70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/>
            </w:pPr>
            <w:r>
              <w:rPr/>
              <w:t>17 823,91</w:t>
            </w:r>
          </w:p>
        </w:tc>
      </w:tr>
    </w:tbl>
    <w:p>
      <w:pPr>
        <w:sectPr>
          <w:headerReference w:type="default" r:id="rId10"/>
          <w:footerReference w:type="default" r:id="rId11"/>
          <w:type w:val="nextPage"/>
          <w:pgSz w:w="11906" w:h="16838"/>
          <w:pgMar w:left="794" w:right="794" w:gutter="0" w:header="794" w:top="1308" w:footer="794" w:bottom="1077"/>
          <w:pgNumType w:fmt="decimal"/>
          <w:formProt w:val="false"/>
          <w:textDirection w:val="lrTb"/>
          <w:docGrid w:type="default" w:linePitch="600" w:charSpace="32768"/>
        </w:sectPr>
        <w:pStyle w:val="Style12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1"/>
        <w:numPr>
          <w:ilvl w:val="0"/>
          <w:numId w:val="1"/>
        </w:numPr>
        <w:outlineLvl w:val="0"/>
        <w:rPr/>
      </w:pPr>
      <w:bookmarkStart w:id="2" w:name="anchor1200"/>
      <w:bookmarkEnd w:id="2"/>
      <w:r>
        <w:rPr/>
        <w:t>Стандартизированные тарифные ставки (С2, С3, С4, С5, С6, С7, С8)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области, включающие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</w:t>
      </w:r>
    </w:p>
    <w:p>
      <w:pPr>
        <w:pStyle w:val="Style12"/>
        <w:rPr/>
      </w:pPr>
      <w:r>
        <w:rPr/>
      </w:r>
    </w:p>
    <w:tbl>
      <w:tblPr>
        <w:tblW w:w="15194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45"/>
        <w:gridCol w:w="4475"/>
        <w:gridCol w:w="78"/>
        <w:gridCol w:w="78"/>
        <w:gridCol w:w="2607"/>
        <w:gridCol w:w="132"/>
        <w:gridCol w:w="78"/>
        <w:gridCol w:w="45"/>
        <w:gridCol w:w="2441"/>
        <w:gridCol w:w="78"/>
        <w:gridCol w:w="78"/>
        <w:gridCol w:w="1507"/>
        <w:gridCol w:w="78"/>
        <w:gridCol w:w="1287"/>
        <w:gridCol w:w="78"/>
        <w:gridCol w:w="1177"/>
        <w:gridCol w:w="140"/>
      </w:tblGrid>
      <w:tr>
        <w:trPr/>
        <w:tc>
          <w:tcPr>
            <w:tcW w:w="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N п/п</w:t>
            </w:r>
          </w:p>
        </w:tc>
        <w:tc>
          <w:tcPr>
            <w:tcW w:w="455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мероприятия</w:t>
            </w:r>
          </w:p>
        </w:tc>
        <w:tc>
          <w:tcPr>
            <w:tcW w:w="2817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Уровень напряжения в точке присоединения мощности Заявителя</w:t>
            </w:r>
          </w:p>
        </w:tc>
        <w:tc>
          <w:tcPr>
            <w:tcW w:w="2642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Обознач.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w="2760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Размер стандартизированных тарифных ставок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в расчете на 1 км линий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руб./км</w:t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изолированным алюминиевым проводом на деревянных опорах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2.1.1.4.1.1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4438 264,11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2.1.1.4.1.1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8 220 005,97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1.2.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изолированным алюминиевым проводом на металлических опорах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2.2.1.4.1.1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4 103 875,95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2.2.1.4.2.1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4 059 147,18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bookmarkStart w:id="3" w:name="anchor1013"/>
            <w:bookmarkEnd w:id="3"/>
            <w:r>
              <w:rPr>
                <w:sz w:val="22"/>
              </w:rPr>
              <w:t>1.3.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изолированным сталеалюминевым проводом на железобетонных опорах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2 099 738,98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3 474 737,92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двухцепные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2.3.1.3.1.2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3 676 955,24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2 011 419,26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2 943 707,33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двухцепные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1 445 431,48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7 084 179,13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сечением от 100 до 200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5 457 045,31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2 086 012,18</w:t>
            </w:r>
          </w:p>
        </w:tc>
      </w:tr>
      <w:tr>
        <w:trPr/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76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4" w:name="anchor10136"/>
            <w:bookmarkEnd w:id="4"/>
            <w:r>
              <w:rPr>
                <w:sz w:val="22"/>
              </w:rPr>
              <w:t>сечением от 100 до 200 квадратных мм включительно двухцепные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564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2.3.1.3.3.2</w:t>
            </w:r>
          </w:p>
        </w:tc>
        <w:tc>
          <w:tcPr>
            <w:tcW w:w="1663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36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25 734 916,52</w:t>
            </w:r>
          </w:p>
        </w:tc>
        <w:tc>
          <w:tcPr>
            <w:tcW w:w="11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1.4.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изолированным алюминиевым проводом на железобетонных опорах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1 658 315,96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3 438 901,03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двухцепные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2.3.1.4.1.2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5 640 644,73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1 726 250,16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3 074 840,19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двухцепные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2 117 402,39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1 747 477,73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4 944 907,23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200 до 250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2.3.1.4.4.1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1 201 225,70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1.5.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5" w:name="anchor1015"/>
            <w:bookmarkEnd w:id="5"/>
            <w:r>
              <w:rPr>
                <w:sz w:val="22"/>
              </w:rPr>
              <w:t>с неизолированным сталеалюминевым проводом на железобетонных опорах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2.3.2.3.1.1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2 070 354,43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2.3.2.3.2.1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1 160 806,19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СН1 (27,5-60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2.3.2.3.2.1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6 218 023,67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одноцепные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2.3.2.3.3.1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3 588 232,18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двухцепные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СН1 (110 кВ и выше)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2.3.2.3.3.2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79 213 686,95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6" w:name="anchor10156"/>
            <w:bookmarkEnd w:id="6"/>
            <w:r>
              <w:rPr>
                <w:sz w:val="22"/>
              </w:rPr>
              <w:t>с сечением провода от 100 до 200 квадратных мм включительно двухцепные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2.3.2.3.3.2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12 976 129,65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Стандартизированная тарифная ставка на покрытие расходов сетевой организации на строительство кабельных линий электропередачи в расчете на 1 км линий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С3</w:t>
            </w:r>
          </w:p>
        </w:tc>
        <w:tc>
          <w:tcPr>
            <w:tcW w:w="158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2.1.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в траншеях одножильным кабелем с резиновой и пластмассовой изоляцией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С3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200 до 250 квадратных мм включительно с тремя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3.1.1.1.4.3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13 137 040,52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250 до 300 квадратных мм включительно с более четырех кабелей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3.1.1.1.5.5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19 832 138,83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2.2.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в траншеях одножильным кабелем с бумажной изоляцией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3.1.1.2.1.1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1 259 351,22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3.1.1.2.2.1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3 071 749,86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bookmarkStart w:id="7" w:name="anchor1023"/>
            <w:bookmarkEnd w:id="7"/>
            <w:r>
              <w:rPr>
                <w:sz w:val="22"/>
              </w:rPr>
              <w:t>2.3.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4 307 189,10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8 388 612,92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3.1.2.1.1.2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4 286 743,89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3 701 233,56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6 873 139,84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6 251 350,55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четырьмя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3.1.2.1.2.4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15 850 647,56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3 377 112,56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3 045 467,30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5 616 998,62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четырьмя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3.1.2.1.3.4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11 867 745,83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8" w:name="anchor102312"/>
            <w:bookmarkEnd w:id="8"/>
            <w:r>
              <w:rPr>
                <w:sz w:val="22"/>
              </w:rPr>
              <w:t>с сечением провода от 200 до 250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3.1.2.1.4.1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3 064 173,02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3.1.2.1.4.1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5 561 128,76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bookmarkStart w:id="9" w:name="anchor1023103"/>
            <w:bookmarkEnd w:id="9"/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3.1.2.1.4.2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6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14 531 453,79</w:t>
            </w:r>
          </w:p>
        </w:tc>
        <w:tc>
          <w:tcPr>
            <w:tcW w:w="1395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200 до 250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3.1.2.1.4.2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5 339 386,18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200 до 250 квадратных мм включительно с четырьмя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3.1.2.1.4.4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14 571 087,87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250 до 300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3.1.2.1.5.2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13 194 031,84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300 до 400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3.1.2.1.6.2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13 836 159,51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400 до 500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3.1.2.1.7.1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5 652 469,95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2.4.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в траншеях многожильным кабелем с бумажной изоляцией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3 623 373,11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3 898 215,47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3.1.2.2.1.2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2 409 629,05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5 226 357,74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1 936 417,35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7 295 515,67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3 205 357,04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7 166 163,68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3 967 003,09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8 910 238,93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5 037 590,82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четырьмя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3.1.2.2.3.4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18 693 456,86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200 до 250 квадратных мм включительно с одним кабелем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3.1.2.2.4.1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3 900 717,95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200 до 250 квадратных мм включительно с двумя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3.1.2.2.4.2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14 259 428,34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3.1.2.2.4.2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4 756 890,53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200 до 250 квадратных мм включительно с четырьмя кабелями в траншее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3.1.2.2.4.4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7 029 402,94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2.5.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10" w:name="anchor1025"/>
            <w:bookmarkEnd w:id="10"/>
            <w:r>
              <w:rPr>
                <w:sz w:val="22"/>
              </w:rPr>
              <w:t>выполненные горизонтальным наклонным бурением многожильным кабелем с резиновой и пластмассовой изоляцией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С3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до 50 квадратных мм включительно с одним кабелем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8 005 884,48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6 188 288,66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7 403 096,13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3.6.2.1.3.1</w:t>
            </w:r>
          </w:p>
        </w:tc>
        <w:tc>
          <w:tcPr>
            <w:tcW w:w="1585" w:type="dxa"/>
            <w:gridSpan w:val="2"/>
            <w:vMerge w:val="restart"/>
            <w:tcBorders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6 801 821,24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3.6.2.1.3.1</w:t>
            </w:r>
          </w:p>
        </w:tc>
        <w:tc>
          <w:tcPr>
            <w:tcW w:w="1585" w:type="dxa"/>
            <w:gridSpan w:val="2"/>
            <w:vMerge w:val="continue"/>
            <w:tcBorders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11 228 924,70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3.6.2.1.3.2</w:t>
            </w:r>
          </w:p>
        </w:tc>
        <w:tc>
          <w:tcPr>
            <w:tcW w:w="1585" w:type="dxa"/>
            <w:gridSpan w:val="2"/>
            <w:vMerge w:val="continue"/>
            <w:tcBorders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9 288 432,17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четырьмя трубами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3.6.2.1.3.4</w:t>
            </w:r>
          </w:p>
        </w:tc>
        <w:tc>
          <w:tcPr>
            <w:tcW w:w="1585" w:type="dxa"/>
            <w:gridSpan w:val="2"/>
            <w:vMerge w:val="continue"/>
            <w:tcBorders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14 077 949,28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4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11" w:name="anchor10257"/>
            <w:bookmarkEnd w:id="11"/>
            <w:r>
              <w:rPr>
                <w:sz w:val="22"/>
              </w:rPr>
              <w:t>с сечением провода от 200 до 250 квадратных мм включительно с двумя кабелями в скважине</w:t>
            </w:r>
          </w:p>
        </w:tc>
        <w:tc>
          <w:tcPr>
            <w:tcW w:w="2763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96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3.6.2.1.4.2</w:t>
            </w:r>
          </w:p>
        </w:tc>
        <w:tc>
          <w:tcPr>
            <w:tcW w:w="1741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68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39 421 366,99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2.6.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С3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3.6.2.2.2.1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7 392 580,23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50 до 100 квадратных мм включительно с четырьмя трубами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3.6.2.2.2.4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16 920 340,44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3.6.2.2.3.1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5 629 900,19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3.6.2.2.3.1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5 899 410,51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3.6.2.2.3.2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10 023 235,61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(1-10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3.6.2.2.3.2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9 088 165,36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bookmarkStart w:id="12" w:name="anchor1203"/>
            <w:bookmarkEnd w:id="12"/>
            <w:r>
              <w:rPr>
                <w:sz w:val="22"/>
              </w:rPr>
              <w:t>3.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Стандартизированная тарифная ставка на покрытие расходов сетевой организации на строительство пунктов секционирования (реклоузеров, распределительных пунктов, переключательных пунктов)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С4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руб./шт.</w:t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3.1.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реклоузеры номинальным током до 100 А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2 218 140,00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3.2.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реклоузеры номинальным током от 250 до 500 А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4.1.3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2 025 561,33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3.3.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реклоузеры номинальным током от 500 до 1000 А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4.1.4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2 300 166,98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3.4.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линейные разъединители номинальным током от 250 до 500 А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4.2.3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19 981,71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3.5.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распределительные пункты (РП), за исключением комплектных распределительных устройств наружной установки (КРН, КРУН), номинальным током от 250 до 500 А включительно с количеством ячеек от 5 до 10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4.4.3.2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103 819,40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3.6.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комплектные распределительные устройства наружной установки (КРН, КРУН), номинальным током от 500 до 1000 А включительно с количеством ячеек до 5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4.5.4.1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2 292 945,33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3.7.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комплектные распределительные устройства наружной установки (КРН, КРУН), номинальным током свыше 1000 А с количеством ячеек до 5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4.5.5.1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552 516,24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bookmarkStart w:id="13" w:name="anchor1238"/>
            <w:bookmarkEnd w:id="13"/>
            <w:r>
              <w:rPr>
                <w:sz w:val="22"/>
              </w:rPr>
              <w:t>3.8.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распределительные пункты (РП), за исключением комплектных распределительных устройств наружной установки (КРН, КРУН), номинальным током до 100 А включительно с количеством ячеек от 5 до 10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4.4.1.2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24 900 265,20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3.9.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14" w:name="anchor1239"/>
            <w:bookmarkEnd w:id="14"/>
            <w:r>
              <w:rPr>
                <w:sz w:val="22"/>
              </w:rPr>
              <w:t>комплектные распределительных устройств наружной установки (КРН, КРУН), номинальным током до 100 А включительно с количеством ячеек до 5 включительно</w:t>
            </w:r>
          </w:p>
        </w:tc>
        <w:tc>
          <w:tcPr>
            <w:tcW w:w="294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59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4.5.1.1</w:t>
            </w:r>
          </w:p>
        </w:tc>
        <w:tc>
          <w:tcPr>
            <w:tcW w:w="1507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4 918 141,92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3.10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bookmarkStart w:id="15" w:name="anchor12310"/>
            <w:bookmarkEnd w:id="15"/>
            <w:r>
              <w:rPr>
                <w:sz w:val="22"/>
              </w:rPr>
              <w:t>линейные разъединители номинальным током до 100 А включительно</w:t>
            </w:r>
          </w:p>
        </w:tc>
        <w:tc>
          <w:tcPr>
            <w:tcW w:w="294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(1-20 кВ)</w:t>
            </w:r>
          </w:p>
        </w:tc>
        <w:tc>
          <w:tcPr>
            <w:tcW w:w="259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4.2.1</w:t>
            </w:r>
          </w:p>
        </w:tc>
        <w:tc>
          <w:tcPr>
            <w:tcW w:w="1507" w:type="dxa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108 227,47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С5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руб./кВт</w:t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4.1.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однотрансформаторные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С5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до 25 кВА включительно столбового/мачтового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50 309,40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56 149,58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до 25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5.1.1.2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54 350,75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5.1.1.2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70 026,94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25 до 100 кВА включительно столбового/мачтового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17 858,16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27 133,33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25 до 100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33 798,41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28 370,87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100 до 250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11 486,39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13 849,12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100 до 250 кВА включительно блочного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5.1.3.3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3 508,19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250 до 400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5.1.4.2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6 651,23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5.1.4.2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7 466,86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400 до 630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5.1.5.2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1 790,07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5.1.5.2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6 857,56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630 до 1000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5.1.6.2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127 270,64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4.2.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двухтрансформаторные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С5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25 до 100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45 788,44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100 до 250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24 921,15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52 941,54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100 до 250 кВА включительно блочного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5.2.3.3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15 939,65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250 до 400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5.2.4.2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17 081,22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5.2.4.2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12 768,88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250 до 400 кВА включительно блочного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5.2.4.3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13 618,01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5.2.4.3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5 587,68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400 до 630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5.2.5.2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10 454,84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5.2.5.2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11 212,88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400 до 630 кВА включительно блочного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5.2.5.3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8 785,52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5.2.5.3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10 168,58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630 до 1000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5.2.6.2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6 303,29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5.2.6.2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25 341,39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630 до 1000 кВА включительно блочного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5.2.6.3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4 413,84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5.2.6.3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6 517,75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1000 до 1250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5.2.7.2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7 186,20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1250 до 1600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5.2.8.2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5 207,76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1600 до 2000 кВА включительно шкафного или киоскового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10/0,4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5.2.9.2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6 419,22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кВ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С6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руб./кВт</w:t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5.1.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двухтрансформаторные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С6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100 до 250 кВА включительно закрытого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6(10)/0,4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6.2.3.2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49 032,22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400 до 630 кВА включительно закрытого типа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6(10)/0,4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6.2.5.2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26 910,45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630 до 1000 кВА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6(10)/0,4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6.2.6.2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12 920,03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 трансформаторной мощностью от 1000 до 1250 кВА включительно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6(10)/0,4 кВ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6.2.7.2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7 724,78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С8</w:t>
            </w:r>
          </w:p>
        </w:tc>
        <w:tc>
          <w:tcPr>
            <w:tcW w:w="1585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рублей за точку учета</w:t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8.1.1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19 654,50</w:t>
            </w:r>
          </w:p>
        </w:tc>
      </w:tr>
      <w:tr>
        <w:trPr/>
        <w:tc>
          <w:tcPr>
            <w:tcW w:w="837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8.2.1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34 455,50</w:t>
            </w:r>
          </w:p>
        </w:tc>
      </w:tr>
      <w:tr>
        <w:trPr/>
        <w:tc>
          <w:tcPr>
            <w:tcW w:w="837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53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(20-1кВ)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8.2.1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426 069,00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средства коммерческого учета электрической энергии (мощности) трехфазные полукосвенного включения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НН (0,4 кВ и ниже)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8.2.2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57 267,74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СН2 (20-1кВ)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8.2.3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299 145,46</w:t>
            </w:r>
          </w:p>
        </w:tc>
      </w:tr>
      <w:tr>
        <w:trPr/>
        <w:tc>
          <w:tcPr>
            <w:tcW w:w="8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5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ind w:hanging="0"/>
              <w:rPr>
                <w:sz w:val="22"/>
              </w:rPr>
            </w:pPr>
            <w:r>
              <w:rPr>
                <w:sz w:val="22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2817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СН1 (35 кВ)</w:t>
            </w:r>
          </w:p>
        </w:tc>
        <w:tc>
          <w:tcPr>
            <w:tcW w:w="2642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  <w:vertAlign w:val="subscript"/>
              </w:rPr>
              <w:t> 8.2.3</w:t>
            </w:r>
          </w:p>
        </w:tc>
        <w:tc>
          <w:tcPr>
            <w:tcW w:w="1585" w:type="dxa"/>
            <w:gridSpan w:val="2"/>
            <w:vMerge w:val="continue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60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Style12"/>
              <w:ind w:hanging="0"/>
              <w:jc w:val="center"/>
              <w:rPr>
                <w:sz w:val="22"/>
              </w:rPr>
            </w:pPr>
            <w:r>
              <w:rPr>
                <w:sz w:val="22"/>
              </w:rPr>
              <w:t>1 743 269,32</w:t>
            </w:r>
          </w:p>
        </w:tc>
      </w:tr>
    </w:tbl>
    <w:p>
      <w:pPr>
        <w:pStyle w:val="Style12"/>
        <w:rPr/>
      </w:pPr>
      <w:r>
        <w:rPr/>
      </w:r>
    </w:p>
    <w:p>
      <w:pPr>
        <w:pStyle w:val="Style14"/>
        <w:rPr/>
      </w:pPr>
      <w:r>
        <w:rPr/>
      </w:r>
    </w:p>
    <w:sectPr>
      <w:headerReference w:type="default" r:id="rId12"/>
      <w:headerReference w:type="first" r:id="rId13"/>
      <w:footerReference w:type="default" r:id="rId14"/>
      <w:footerReference w:type="first" r:id="rId15"/>
      <w:type w:val="nextPage"/>
      <w:pgSz w:orient="landscape" w:w="16838" w:h="11906"/>
      <w:pgMar w:left="794" w:right="794" w:gutter="0" w:header="794" w:top="1308" w:footer="794" w:bottom="107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auto"/>
    <w:pitch w:val="default"/>
  </w:font>
  <w:font w:name="Courier New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3439"/>
      <w:gridCol w:w="3439"/>
      <w:gridCol w:w="3440"/>
    </w:tblGrid>
    <w:tr>
      <w:trPr/>
      <w:tc>
        <w:tcPr>
          <w:tcW w:w="3439" w:type="dxa"/>
          <w:tcBorders/>
        </w:tcPr>
        <w:p>
          <w:pPr>
            <w:pStyle w:val="Normal"/>
            <w:ind w:hanging="0"/>
            <w:jc w:val="left"/>
            <w:rPr>
              <w:rFonts w:ascii="Times New Roman" w:hAnsi="Times New Roman"/>
              <w:sz w:val="20"/>
            </w:rPr>
          </w:pPr>
          <w:r>
            <w:rPr>
              <w:sz w:val="20"/>
            </w:rPr>
            <w:fldChar w:fldCharType="begin" w:fldLock="true"/>
          </w:r>
          <w:r>
            <w:rPr>
              <w:sz w:val="20"/>
            </w:rPr>
            <w:instrText xml:space="preserve"> DATE \@"dd.MM.yyyy"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19.08.2025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</w:t>
          </w:r>
        </w:p>
      </w:tc>
      <w:tc>
        <w:tcPr>
          <w:tcW w:w="3439" w:type="dxa"/>
          <w:tcBorders/>
        </w:tcPr>
        <w:p>
          <w:pPr>
            <w:pStyle w:val="Normal"/>
            <w:ind w:hanging="0"/>
            <w:jc w:val="center"/>
            <w:rPr>
              <w:rFonts w:ascii="Times New Roman" w:hAnsi="Times New Roman"/>
              <w:sz w:val="20"/>
            </w:rPr>
          </w:pPr>
          <w:r>
            <w:rPr>
              <w:sz w:val="20"/>
            </w:rPr>
            <w:t xml:space="preserve">Система ГАРАНТ </w:t>
          </w:r>
        </w:p>
      </w:tc>
      <w:tc>
        <w:tcPr>
          <w:tcW w:w="3440" w:type="dxa"/>
          <w:tcBorders/>
        </w:tcPr>
        <w:p>
          <w:pPr>
            <w:pStyle w:val="Normal"/>
            <w:ind w:hanging="0"/>
            <w:jc w:val="right"/>
            <w:rPr>
              <w:rFonts w:ascii="Times New Roman" w:hAnsi="Times New Roman"/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>/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NUMPAGES \* ARABIC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11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</w:t>
          </w:r>
        </w:p>
      </w:tc>
    </w:tr>
  </w:tbl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083"/>
      <w:gridCol w:w="5083"/>
      <w:gridCol w:w="5084"/>
    </w:tblGrid>
    <w:tr>
      <w:trPr/>
      <w:tc>
        <w:tcPr>
          <w:tcW w:w="5083" w:type="dxa"/>
          <w:tcBorders/>
        </w:tcPr>
        <w:p>
          <w:pPr>
            <w:pStyle w:val="Normal"/>
            <w:ind w:hanging="0"/>
            <w:jc w:val="left"/>
            <w:rPr>
              <w:rFonts w:ascii="Times New Roman" w:hAnsi="Times New Roman"/>
              <w:sz w:val="20"/>
            </w:rPr>
          </w:pPr>
          <w:r>
            <w:rPr>
              <w:sz w:val="20"/>
            </w:rPr>
            <w:fldChar w:fldCharType="begin" w:fldLock="true"/>
          </w:r>
          <w:r>
            <w:rPr>
              <w:sz w:val="20"/>
            </w:rPr>
            <w:instrText xml:space="preserve"> DATE \@"dd.MM.yyyy"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19.08.2025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</w:t>
          </w:r>
        </w:p>
      </w:tc>
      <w:tc>
        <w:tcPr>
          <w:tcW w:w="5083" w:type="dxa"/>
          <w:tcBorders/>
        </w:tcPr>
        <w:p>
          <w:pPr>
            <w:pStyle w:val="Normal"/>
            <w:ind w:hanging="0"/>
            <w:jc w:val="center"/>
            <w:rPr>
              <w:rFonts w:ascii="Times New Roman" w:hAnsi="Times New Roman"/>
              <w:sz w:val="20"/>
            </w:rPr>
          </w:pPr>
          <w:r>
            <w:rPr>
              <w:sz w:val="20"/>
            </w:rPr>
            <w:t xml:space="preserve">Система ГАРАНТ </w:t>
          </w:r>
        </w:p>
      </w:tc>
      <w:tc>
        <w:tcPr>
          <w:tcW w:w="5084" w:type="dxa"/>
          <w:tcBorders/>
        </w:tcPr>
        <w:p>
          <w:pPr>
            <w:pStyle w:val="Normal"/>
            <w:ind w:hanging="0"/>
            <w:jc w:val="right"/>
            <w:rPr>
              <w:rFonts w:ascii="Times New Roman" w:hAnsi="Times New Roman"/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>/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NUMPAGES \* ARABIC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11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</w:t>
          </w:r>
        </w:p>
      </w:tc>
    </w:tr>
  </w:tbl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hanging="0"/>
      <w:jc w:val="left"/>
      <w:rPr>
        <w:rFonts w:ascii="Times New Roman" w:hAnsi="Times New Roman"/>
        <w:sz w:val="20"/>
      </w:rPr>
    </w:pPr>
    <w:r>
      <w:rPr>
        <w:sz w:val="20"/>
      </w:rPr>
      <w:t>Постановление комитета государственного регулирования тарифов Саратовской области от 29 ноября 20...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hanging="0"/>
      <w:jc w:val="left"/>
      <w:rPr>
        <w:rFonts w:ascii="Times New Roman" w:hAnsi="Times New Roman"/>
        <w:sz w:val="20"/>
      </w:rPr>
    </w:pPr>
    <w:r>
      <w:rPr>
        <w:sz w:val="20"/>
      </w:rPr>
      <w:t>Постановление комитета государственного регулирования тарифов Саратовской области от 29 ноября 20...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Tahoma"/>
        <w:color w:val="000000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ind w:left="0" w:right="0" w:firstLine="720"/>
      <w:jc w:val="both"/>
    </w:pPr>
    <w:rPr>
      <w:rFonts w:ascii="Times New Roman" w:hAnsi="Times New Roman"/>
      <w:sz w:val="24"/>
      <w:lang w:val="ru-RU" w:eastAsia="zh-CN" w:bidi="hi-IN"/>
    </w:rPr>
  </w:style>
  <w:style w:type="paragraph" w:styleId="1">
    <w:name w:val="Heading 1"/>
    <w:basedOn w:val="Style10"/>
    <w:qFormat/>
    <w:pPr/>
    <w:rPr/>
  </w:style>
  <w:style w:type="paragraph" w:styleId="2">
    <w:name w:val="Heading 2"/>
    <w:basedOn w:val="Style10"/>
    <w:qFormat/>
    <w:pPr/>
    <w:rPr/>
  </w:style>
  <w:style w:type="paragraph" w:styleId="3">
    <w:name w:val="Heading 3"/>
    <w:basedOn w:val="Style10"/>
    <w:qFormat/>
    <w:pPr/>
    <w:rPr/>
  </w:style>
  <w:style w:type="paragraph" w:styleId="4">
    <w:name w:val="Heading 4"/>
    <w:basedOn w:val="Style10"/>
    <w:qFormat/>
    <w:pPr/>
    <w:rPr/>
  </w:style>
  <w:style w:type="character" w:styleId="-">
    <w:name w:val="Hyperlink"/>
    <w:rPr>
      <w:color w:val="000080"/>
      <w:u w:val="single"/>
    </w:rPr>
  </w:style>
  <w:style w:type="paragraph" w:styleId="Normal1">
    <w:name w:val="LO-Normal"/>
    <w:qFormat/>
    <w:pPr>
      <w:widowControl w:val="false"/>
      <w:bidi w:val="0"/>
    </w:pPr>
    <w:rPr>
      <w:rFonts w:ascii="Times New Roman" w:hAnsi="Times New Roman"/>
      <w:sz w:val="24"/>
      <w:lang w:val="ru-RU" w:eastAsia="zh-CN" w:bidi="hi-IN"/>
    </w:rPr>
  </w:style>
  <w:style w:type="paragraph" w:styleId="Preformatted">
    <w:name w:val="Preformatted"/>
    <w:qFormat/>
    <w:pPr>
      <w:widowControl/>
      <w:suppressAutoHyphens w:val="false"/>
      <w:bidi w:val="0"/>
      <w:spacing w:before="0" w:after="0"/>
      <w:ind w:left="0" w:right="0" w:hanging="0"/>
      <w:jc w:val="both"/>
    </w:pPr>
    <w:rPr>
      <w:rFonts w:ascii="Courier New" w:hAnsi="Courier New" w:eastAsia="Symbol" w:cs="Wingdings"/>
      <w:sz w:val="24"/>
      <w:szCs w:val="24"/>
      <w:lang w:val="ru-RU" w:eastAsia="zh-CN" w:bidi="hi-IN"/>
    </w:rPr>
  </w:style>
  <w:style w:type="paragraph" w:styleId="Style10">
    <w:name w:val="Заголовок"/>
    <w:basedOn w:val="Normal"/>
    <w:qFormat/>
    <w:pPr>
      <w:keepNext w:val="true"/>
      <w:spacing w:before="240" w:after="120"/>
      <w:jc w:val="center"/>
    </w:pPr>
    <w:rPr>
      <w:rFonts w:ascii="Times New Roman" w:hAnsi="Times New Roman"/>
      <w:b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Нормальный"/>
    <w:basedOn w:val="Normal"/>
    <w:qFormat/>
    <w:pPr/>
    <w:rPr/>
  </w:style>
  <w:style w:type="paragraph" w:styleId="OEM">
    <w:name w:val="Нормальный (OEM)"/>
    <w:basedOn w:val="Preformatted"/>
    <w:qFormat/>
    <w:pPr/>
    <w:rPr/>
  </w:style>
  <w:style w:type="paragraph" w:styleId="Style13">
    <w:name w:val="Утратил силу"/>
    <w:basedOn w:val="Normal"/>
    <w:qFormat/>
    <w:pPr/>
    <w:rPr>
      <w:strike/>
      <w:color w:val="666600"/>
    </w:rPr>
  </w:style>
  <w:style w:type="paragraph" w:styleId="Textreference">
    <w:name w:val="Text (reference)"/>
    <w:basedOn w:val="Normal"/>
    <w:qFormat/>
    <w:pPr>
      <w:spacing w:before="75" w:after="0"/>
      <w:ind w:left="0" w:right="0" w:hanging="0"/>
      <w:jc w:val="both"/>
    </w:pPr>
    <w:rPr>
      <w:i/>
      <w:color w:val="353842"/>
      <w:sz w:val="24"/>
    </w:rPr>
  </w:style>
  <w:style w:type="paragraph" w:styleId="Style14">
    <w:name w:val="Комментарий"/>
    <w:basedOn w:val="Textreference"/>
    <w:qFormat/>
    <w:pPr>
      <w:shd w:fill="F0F0F0" w:val="clear"/>
      <w:jc w:val="both"/>
    </w:pPr>
    <w:rPr>
      <w:shd w:fill="F0F0F0" w:val="clear"/>
    </w:rPr>
  </w:style>
  <w:style w:type="paragraph" w:styleId="Style15">
    <w:name w:val="Заголовок статьи"/>
    <w:basedOn w:val="Normal"/>
    <w:qFormat/>
    <w:pPr>
      <w:spacing w:before="0" w:after="0"/>
      <w:ind w:left="1612" w:right="0" w:hanging="892"/>
      <w:jc w:val="both"/>
    </w:pPr>
    <w:rPr/>
  </w:style>
  <w:style w:type="paragraph" w:styleId="Style16">
    <w:name w:val="Прижатый влево"/>
    <w:basedOn w:val="Normal"/>
    <w:qFormat/>
    <w:pPr>
      <w:suppressAutoHyphens w:val="true"/>
      <w:ind w:hanging="0"/>
      <w:jc w:val="left"/>
    </w:pPr>
    <w:rPr/>
  </w:style>
  <w:style w:type="paragraph" w:styleId="Style17">
    <w:name w:val="Информация о версии"/>
    <w:basedOn w:val="Textreference"/>
    <w:qFormat/>
    <w:pPr>
      <w:shd w:fill="F0F0F0" w:val="clear"/>
      <w:jc w:val="both"/>
    </w:pPr>
    <w:rPr>
      <w:shd w:fill="F0F0F0" w:val="clear"/>
    </w:rPr>
  </w:style>
  <w:style w:type="paragraph" w:styleId="Style18">
    <w:name w:val="Не вступил в силу"/>
    <w:basedOn w:val="Normal"/>
    <w:qFormat/>
    <w:pPr>
      <w:ind w:left="139" w:right="0" w:hanging="139"/>
    </w:pPr>
    <w:rPr/>
  </w:style>
  <w:style w:type="paragraph" w:styleId="Style19">
    <w:name w:val="Информация об изменениях"/>
    <w:basedOn w:val="Textreference"/>
    <w:qFormat/>
    <w:pPr>
      <w:shd w:fill="EAEFED" w:val="clear"/>
    </w:pPr>
    <w:rPr>
      <w:sz w:val="20"/>
      <w:shd w:fill="EAEFED" w:val="clear"/>
    </w:rPr>
  </w:style>
  <w:style w:type="paragraph" w:styleId="Style20">
    <w:name w:val="Заголовок ЭР (левое окно)"/>
    <w:basedOn w:val="Style10"/>
    <w:qFormat/>
    <w:pPr/>
    <w:rPr/>
  </w:style>
  <w:style w:type="paragraph" w:styleId="Style21">
    <w:name w:val="Footnote Text"/>
    <w:basedOn w:val="Normal"/>
    <w:pPr/>
    <w:rPr>
      <w:sz w:val="20"/>
    </w:rPr>
  </w:style>
  <w:style w:type="paragraph" w:styleId="Style22">
    <w:name w:val="Взамен"/>
    <w:basedOn w:val="Textreference"/>
    <w:qFormat/>
    <w:pPr>
      <w:shd w:fill="FFF5AD" w:val="clear"/>
      <w:ind w:left="432" w:hanging="0"/>
    </w:pPr>
    <w:rPr>
      <w:shd w:fill="FFF5AD" w:val="clear"/>
    </w:rPr>
  </w:style>
  <w:style w:type="paragraph" w:styleId="Style23">
    <w:name w:val="Сравнение"/>
    <w:basedOn w:val="Textreference"/>
    <w:qFormat/>
    <w:pPr>
      <w:shd w:fill="F0F0F0" w:val="clear"/>
      <w:ind w:left="432" w:hanging="0"/>
    </w:pPr>
    <w:rPr>
      <w:shd w:fill="F0F0F0" w:val="clear"/>
    </w:rPr>
  </w:style>
  <w:style w:type="paragraph" w:styleId="Style24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Style24"/>
    <w:pPr>
      <w:suppressLineNumbers/>
    </w:pPr>
    <w:rPr/>
  </w:style>
  <w:style w:type="paragraph" w:styleId="Style26">
    <w:name w:val="Footer"/>
    <w:basedOn w:val="Style24"/>
    <w:pPr>
      <w:suppressLineNumbers/>
    </w:pPr>
    <w:rPr/>
  </w:style>
  <w:style w:type="paragraph" w:styleId="Style27">
    <w:name w:val="Содержимое таблицы"/>
    <w:basedOn w:val="Normal"/>
    <w:qFormat/>
    <w:pPr>
      <w:widowControl w:val="false"/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ternet.garant.ru/document/redirect/411068188/0" TargetMode="External"/><Relationship Id="rId3" Type="http://schemas.openxmlformats.org/officeDocument/2006/relationships/hyperlink" Target="https://internet.garant.ru/document/redirect/187740/4121" TargetMode="External"/><Relationship Id="rId4" Type="http://schemas.openxmlformats.org/officeDocument/2006/relationships/hyperlink" Target="https://internet.garant.ru/document/redirect/187740/4132" TargetMode="External"/><Relationship Id="rId5" Type="http://schemas.openxmlformats.org/officeDocument/2006/relationships/hyperlink" Target="https://internet.garant.ru/document/redirect/187740/4135" TargetMode="External"/><Relationship Id="rId6" Type="http://schemas.openxmlformats.org/officeDocument/2006/relationships/hyperlink" Target="https://internet.garant.ru/document/redirect/187740/4014" TargetMode="External"/><Relationship Id="rId7" Type="http://schemas.openxmlformats.org/officeDocument/2006/relationships/hyperlink" Target="https://internet.garant.ru/document/redirect/405181177/1246" TargetMode="External"/><Relationship Id="rId8" Type="http://schemas.openxmlformats.org/officeDocument/2006/relationships/hyperlink" Target="https://internet.garant.ru/document/redirect/405181177/1246" TargetMode="External"/><Relationship Id="rId9" Type="http://schemas.openxmlformats.org/officeDocument/2006/relationships/hyperlink" Target="https://internet.garant.ru/document/redirect/405181177/1247" TargetMode="Externa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LibreOffice/7.5.6.2$Linux_X86_64 LibreOffice_project/50$Build-2</Application>
  <AppVersion>15.0000</AppVersion>
  <Pages>11</Pages>
  <Words>3073</Words>
  <Characters>16295</Characters>
  <CharactersWithSpaces>18709</CharactersWithSpaces>
  <Paragraphs>668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dc:language>ru-RU</dc:language>
  <cp:lastModifiedBy/>
  <dcterms:modified xsi:type="dcterms:W3CDTF">2025-08-19T16:02:25Z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