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3A6134" w14:textId="7A77534F" w:rsidR="00FA57AB" w:rsidRPr="00FA57AB" w:rsidRDefault="00FA57AB" w:rsidP="009A3979">
      <w:pPr>
        <w:pStyle w:val="a3"/>
        <w:spacing w:before="0" w:beforeAutospacing="0" w:after="0" w:afterAutospacing="0"/>
        <w:ind w:left="-142" w:firstLine="426"/>
        <w:jc w:val="center"/>
        <w:rPr>
          <w:b/>
        </w:rPr>
      </w:pPr>
      <w:r w:rsidRPr="00FA57AB">
        <w:rPr>
          <w:b/>
        </w:rPr>
        <w:t xml:space="preserve">Протокол разногласий к </w:t>
      </w:r>
      <w:r w:rsidR="006664C2" w:rsidRPr="006664C2">
        <w:rPr>
          <w:b/>
        </w:rPr>
        <w:t>Сублицензионн</w:t>
      </w:r>
      <w:r w:rsidR="006664C2">
        <w:rPr>
          <w:b/>
        </w:rPr>
        <w:t>ому</w:t>
      </w:r>
      <w:r w:rsidR="006664C2" w:rsidRPr="006664C2">
        <w:rPr>
          <w:b/>
        </w:rPr>
        <w:t xml:space="preserve"> договор</w:t>
      </w:r>
      <w:r w:rsidR="006664C2">
        <w:rPr>
          <w:b/>
        </w:rPr>
        <w:t>у</w:t>
      </w:r>
      <w:r w:rsidR="006664C2" w:rsidRPr="006664C2">
        <w:rPr>
          <w:b/>
        </w:rPr>
        <w:t xml:space="preserve"> № WL/2020-1</w:t>
      </w:r>
    </w:p>
    <w:p w14:paraId="47ADC00F" w14:textId="07A636C0" w:rsidR="00FA57AB" w:rsidRDefault="00FA57AB" w:rsidP="009A3979">
      <w:pPr>
        <w:shd w:val="clear" w:color="auto" w:fill="FFFFFF"/>
        <w:tabs>
          <w:tab w:val="left" w:leader="underscore" w:pos="7392"/>
          <w:tab w:val="left" w:leader="underscore" w:pos="7718"/>
          <w:tab w:val="left" w:leader="underscore" w:pos="9354"/>
        </w:tabs>
        <w:spacing w:before="100" w:beforeAutospacing="1"/>
        <w:ind w:left="-14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Саратов</w:t>
      </w:r>
      <w:r w:rsidR="002504E2">
        <w:rPr>
          <w:color w:val="000000"/>
          <w:sz w:val="24"/>
          <w:szCs w:val="24"/>
        </w:rPr>
        <w:t xml:space="preserve">          </w:t>
      </w:r>
      <w:r>
        <w:rPr>
          <w:color w:val="000000"/>
          <w:sz w:val="24"/>
          <w:szCs w:val="24"/>
        </w:rPr>
        <w:t xml:space="preserve">                                                                                        </w:t>
      </w:r>
      <w:proofErr w:type="gramStart"/>
      <w:r>
        <w:rPr>
          <w:color w:val="000000"/>
          <w:sz w:val="24"/>
          <w:szCs w:val="24"/>
        </w:rPr>
        <w:t xml:space="preserve">   «</w:t>
      </w:r>
      <w:proofErr w:type="gramEnd"/>
      <w:r w:rsidR="007A7048">
        <w:rPr>
          <w:color w:val="000000"/>
          <w:sz w:val="24"/>
          <w:szCs w:val="24"/>
        </w:rPr>
        <w:t>__</w:t>
      </w:r>
      <w:r>
        <w:rPr>
          <w:color w:val="000000"/>
          <w:sz w:val="24"/>
          <w:szCs w:val="24"/>
        </w:rPr>
        <w:t xml:space="preserve">» </w:t>
      </w:r>
      <w:r w:rsidR="00FB53F3">
        <w:rPr>
          <w:color w:val="000000"/>
          <w:sz w:val="24"/>
          <w:szCs w:val="24"/>
        </w:rPr>
        <w:t>декабря</w:t>
      </w:r>
      <w:r>
        <w:rPr>
          <w:color w:val="000000"/>
          <w:sz w:val="24"/>
          <w:szCs w:val="24"/>
        </w:rPr>
        <w:t xml:space="preserve"> 20</w:t>
      </w:r>
      <w:r w:rsidR="00FB53F3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  г.</w:t>
      </w:r>
    </w:p>
    <w:p w14:paraId="3F02032C" w14:textId="77777777" w:rsidR="00926F73" w:rsidRDefault="00926F73" w:rsidP="009A3979">
      <w:pPr>
        <w:shd w:val="clear" w:color="auto" w:fill="FFFFFF"/>
        <w:ind w:left="-142"/>
        <w:jc w:val="both"/>
        <w:rPr>
          <w:b/>
          <w:sz w:val="24"/>
          <w:szCs w:val="24"/>
        </w:rPr>
      </w:pPr>
    </w:p>
    <w:p w14:paraId="6FADDC6F" w14:textId="0ABD9126" w:rsidR="00FA57AB" w:rsidRDefault="006664C2" w:rsidP="009A3979">
      <w:pPr>
        <w:shd w:val="clear" w:color="auto" w:fill="FFFFFF"/>
        <w:ind w:left="-142"/>
        <w:jc w:val="both"/>
        <w:rPr>
          <w:sz w:val="24"/>
          <w:szCs w:val="24"/>
        </w:rPr>
      </w:pPr>
      <w:r w:rsidRPr="006664C2">
        <w:rPr>
          <w:b/>
          <w:sz w:val="24"/>
          <w:szCs w:val="24"/>
        </w:rPr>
        <w:t>Индивидуальный предприниматель Нестеров Андрей Викторович</w:t>
      </w:r>
      <w:r w:rsidRPr="006664C2">
        <w:rPr>
          <w:sz w:val="24"/>
          <w:szCs w:val="24"/>
        </w:rPr>
        <w:t>, действующий на основании свидетельства о государственной регистрации 64№002564743 от 27 мая 2008 г., ОГРНИП 308645314800063 (далее - Сублицензиар), с одной стороны</w:t>
      </w:r>
      <w:r w:rsidR="00FA57AB">
        <w:rPr>
          <w:sz w:val="24"/>
          <w:szCs w:val="24"/>
        </w:rPr>
        <w:t xml:space="preserve">, </w:t>
      </w:r>
      <w:r w:rsidR="00FA57AB">
        <w:rPr>
          <w:bCs/>
          <w:sz w:val="24"/>
          <w:szCs w:val="24"/>
        </w:rPr>
        <w:t>и</w:t>
      </w:r>
      <w:r w:rsidR="00FA57AB">
        <w:rPr>
          <w:sz w:val="24"/>
          <w:szCs w:val="24"/>
        </w:rPr>
        <w:t xml:space="preserve"> </w:t>
      </w:r>
      <w:r w:rsidRPr="006664C2">
        <w:rPr>
          <w:b/>
          <w:sz w:val="24"/>
          <w:szCs w:val="24"/>
        </w:rPr>
        <w:t xml:space="preserve">Закрытое акционерное общество «Саратовское предприятие городских электрических сетей» </w:t>
      </w:r>
      <w:r w:rsidRPr="006664C2">
        <w:rPr>
          <w:sz w:val="24"/>
          <w:szCs w:val="24"/>
        </w:rPr>
        <w:t>(далее - Сублицензиат), в лице Генерального директора Козина Сергея Валентиновича, действующего на основании Устава</w:t>
      </w:r>
      <w:r w:rsidR="00FA57AB" w:rsidRPr="006664C2">
        <w:rPr>
          <w:sz w:val="24"/>
          <w:szCs w:val="24"/>
        </w:rPr>
        <w:t>,</w:t>
      </w:r>
      <w:r w:rsidR="002504E2">
        <w:rPr>
          <w:sz w:val="24"/>
          <w:szCs w:val="24"/>
        </w:rPr>
        <w:t xml:space="preserve"> </w:t>
      </w:r>
      <w:r w:rsidR="00FA57AB">
        <w:rPr>
          <w:sz w:val="24"/>
          <w:szCs w:val="24"/>
        </w:rPr>
        <w:t xml:space="preserve">, с другой стороны, совместно именуемые «Стороны», согласовали настоящий протокол разногласий </w:t>
      </w:r>
      <w:r w:rsidR="002504E2" w:rsidRPr="002504E2">
        <w:rPr>
          <w:sz w:val="24"/>
          <w:szCs w:val="24"/>
        </w:rPr>
        <w:t xml:space="preserve">к </w:t>
      </w:r>
      <w:r w:rsidRPr="006664C2">
        <w:rPr>
          <w:sz w:val="24"/>
          <w:szCs w:val="24"/>
        </w:rPr>
        <w:t>Сублицензионному договору № WL/2020-1</w:t>
      </w:r>
      <w:r w:rsidR="00FA07D7">
        <w:rPr>
          <w:sz w:val="24"/>
          <w:szCs w:val="24"/>
        </w:rPr>
        <w:t xml:space="preserve"> (далее – Договор)</w:t>
      </w:r>
      <w:r w:rsidR="002504E2">
        <w:rPr>
          <w:sz w:val="24"/>
          <w:szCs w:val="24"/>
        </w:rPr>
        <w:t xml:space="preserve"> </w:t>
      </w:r>
      <w:r w:rsidR="00FA57AB">
        <w:rPr>
          <w:sz w:val="24"/>
          <w:szCs w:val="24"/>
        </w:rPr>
        <w:t>о нижеследующем</w:t>
      </w:r>
      <w:r w:rsidR="00FA07D7">
        <w:rPr>
          <w:sz w:val="24"/>
          <w:szCs w:val="24"/>
        </w:rPr>
        <w:t>.</w:t>
      </w:r>
    </w:p>
    <w:p w14:paraId="0A0C953F" w14:textId="1FC63674" w:rsidR="00FA07D7" w:rsidRDefault="00FA07D7" w:rsidP="009A3979">
      <w:pPr>
        <w:shd w:val="clear" w:color="auto" w:fill="FFFFFF"/>
        <w:ind w:left="-142"/>
        <w:jc w:val="both"/>
        <w:rPr>
          <w:sz w:val="24"/>
          <w:szCs w:val="24"/>
        </w:rPr>
      </w:pPr>
    </w:p>
    <w:p w14:paraId="60BAF5FA" w14:textId="7D539724" w:rsidR="008976EE" w:rsidRPr="00FA07D7" w:rsidRDefault="00FA07D7" w:rsidP="009A3979">
      <w:pPr>
        <w:pStyle w:val="a7"/>
        <w:numPr>
          <w:ilvl w:val="0"/>
          <w:numId w:val="1"/>
        </w:numPr>
        <w:shd w:val="clear" w:color="auto" w:fill="FFFFFF"/>
        <w:tabs>
          <w:tab w:val="left" w:pos="426"/>
        </w:tabs>
        <w:ind w:left="-142" w:firstLine="0"/>
        <w:jc w:val="both"/>
        <w:rPr>
          <w:sz w:val="24"/>
          <w:szCs w:val="24"/>
        </w:rPr>
      </w:pPr>
      <w:r w:rsidRPr="00FA07D7">
        <w:rPr>
          <w:bCs/>
          <w:color w:val="000000"/>
          <w:sz w:val="24"/>
          <w:szCs w:val="24"/>
        </w:rPr>
        <w:t xml:space="preserve">Согласовать действие договора </w:t>
      </w:r>
      <w:r>
        <w:rPr>
          <w:bCs/>
          <w:color w:val="000000"/>
          <w:sz w:val="24"/>
          <w:szCs w:val="24"/>
        </w:rPr>
        <w:t xml:space="preserve">с учетом следующей </w:t>
      </w:r>
      <w:r w:rsidRPr="00FA07D7">
        <w:rPr>
          <w:bCs/>
          <w:color w:val="000000"/>
          <w:sz w:val="24"/>
          <w:szCs w:val="24"/>
        </w:rPr>
        <w:t>редакции</w:t>
      </w:r>
      <w:r>
        <w:rPr>
          <w:bCs/>
          <w:color w:val="000000"/>
          <w:sz w:val="24"/>
          <w:szCs w:val="24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3335"/>
        <w:gridCol w:w="3447"/>
        <w:gridCol w:w="1723"/>
      </w:tblGrid>
      <w:tr w:rsidR="00FA07D7" w14:paraId="1455AF7C" w14:textId="569128A0" w:rsidTr="006664C2">
        <w:trPr>
          <w:trHeight w:val="79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781F" w14:textId="5B4EA635" w:rsidR="00FA07D7" w:rsidRPr="0059173D" w:rsidRDefault="00FA07D7" w:rsidP="00FB53F3">
            <w:pPr>
              <w:spacing w:before="100" w:beforeAutospacing="1"/>
              <w:ind w:left="-100" w:right="-112"/>
              <w:jc w:val="center"/>
              <w:rPr>
                <w:b/>
                <w:sz w:val="24"/>
                <w:szCs w:val="24"/>
              </w:rPr>
            </w:pPr>
            <w:r w:rsidRPr="0059173D">
              <w:rPr>
                <w:b/>
                <w:sz w:val="24"/>
                <w:szCs w:val="24"/>
              </w:rPr>
              <w:t>Пункт договора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32963" w14:textId="2A3CB95B" w:rsidR="00FA07D7" w:rsidRPr="0059173D" w:rsidRDefault="00FA07D7" w:rsidP="008C4B6C">
            <w:pPr>
              <w:spacing w:before="100" w:beforeAutospacing="1"/>
              <w:ind w:left="-28" w:right="-98"/>
              <w:jc w:val="center"/>
              <w:rPr>
                <w:b/>
                <w:sz w:val="24"/>
                <w:szCs w:val="24"/>
              </w:rPr>
            </w:pPr>
            <w:r w:rsidRPr="0059173D">
              <w:rPr>
                <w:b/>
                <w:sz w:val="24"/>
                <w:szCs w:val="24"/>
              </w:rPr>
              <w:t>В редакции «</w:t>
            </w:r>
            <w:r w:rsidR="006664C2">
              <w:rPr>
                <w:b/>
                <w:sz w:val="24"/>
                <w:szCs w:val="24"/>
              </w:rPr>
              <w:t>Сублицензиара</w:t>
            </w:r>
            <w:r w:rsidRPr="0059173D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772A2" w14:textId="60FF98C1" w:rsidR="00FA07D7" w:rsidRPr="0059173D" w:rsidRDefault="00FA07D7" w:rsidP="008C4B6C">
            <w:pPr>
              <w:spacing w:before="100" w:beforeAutospacing="1"/>
              <w:jc w:val="center"/>
              <w:rPr>
                <w:b/>
                <w:sz w:val="24"/>
                <w:szCs w:val="24"/>
              </w:rPr>
            </w:pPr>
            <w:r w:rsidRPr="0059173D">
              <w:rPr>
                <w:b/>
                <w:sz w:val="24"/>
                <w:szCs w:val="24"/>
              </w:rPr>
              <w:t>В редакции «</w:t>
            </w:r>
            <w:r w:rsidR="006664C2">
              <w:rPr>
                <w:b/>
                <w:sz w:val="24"/>
                <w:szCs w:val="24"/>
              </w:rPr>
              <w:t>Сублицензиата</w:t>
            </w:r>
            <w:r w:rsidRPr="0059173D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6542" w14:textId="0F86343D" w:rsidR="00FA07D7" w:rsidRPr="0059173D" w:rsidRDefault="00FA07D7" w:rsidP="008C4B6C">
            <w:pPr>
              <w:spacing w:before="100" w:beforeAutospacing="1"/>
              <w:ind w:left="-79" w:right="-112"/>
              <w:jc w:val="both"/>
              <w:rPr>
                <w:b/>
                <w:sz w:val="24"/>
                <w:szCs w:val="24"/>
              </w:rPr>
            </w:pPr>
            <w:r w:rsidRPr="0059173D">
              <w:rPr>
                <w:b/>
                <w:sz w:val="24"/>
                <w:szCs w:val="24"/>
              </w:rPr>
              <w:t>Согласованная редакция</w:t>
            </w:r>
          </w:p>
        </w:tc>
      </w:tr>
      <w:tr w:rsidR="00FA07D7" w14:paraId="64FC5454" w14:textId="77777777" w:rsidTr="006664C2">
        <w:trPr>
          <w:trHeight w:val="952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8507" w14:textId="771AB2CC" w:rsidR="00FA07D7" w:rsidRDefault="00E957B1" w:rsidP="008C4B6C">
            <w:pPr>
              <w:spacing w:before="100" w:beforeAutospacing="1"/>
              <w:ind w:left="-105" w:right="-10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A07D7">
              <w:rPr>
                <w:sz w:val="24"/>
                <w:szCs w:val="24"/>
              </w:rPr>
              <w:t>.1.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2CF7" w14:textId="155045C2" w:rsidR="00FA07D7" w:rsidRPr="0059173D" w:rsidRDefault="00E957B1" w:rsidP="008C4B6C">
            <w:pPr>
              <w:spacing w:before="100" w:beforeAutospacing="1"/>
              <w:rPr>
                <w:sz w:val="24"/>
                <w:szCs w:val="24"/>
              </w:rPr>
            </w:pPr>
            <w:r w:rsidRPr="00E957B1">
              <w:rPr>
                <w:sz w:val="24"/>
                <w:szCs w:val="24"/>
              </w:rPr>
              <w:t xml:space="preserve">Размер лицензионного вознаграждения на экземпляр </w:t>
            </w:r>
            <w:proofErr w:type="spellStart"/>
            <w:r w:rsidRPr="00E957B1">
              <w:rPr>
                <w:sz w:val="24"/>
                <w:szCs w:val="24"/>
              </w:rPr>
              <w:t>Wialon</w:t>
            </w:r>
            <w:proofErr w:type="spellEnd"/>
            <w:r w:rsidRPr="00E957B1">
              <w:rPr>
                <w:sz w:val="24"/>
                <w:szCs w:val="24"/>
              </w:rPr>
              <w:t xml:space="preserve"> согласован сторонами и приведен в Приложении №1, являющемся неотъемлемой частью настоящего Договора. Передача прав по лицензионному договору на территории РФ не облагается налогом на добавленную стоимость в соответствии с пп. 26 п. 2 ст. 149 НК РФ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EE40" w14:textId="3A48965E" w:rsidR="00FA07D7" w:rsidRPr="008C4B6C" w:rsidRDefault="00306FAE" w:rsidP="008C4B6C">
            <w:pPr>
              <w:spacing w:before="100" w:beforeAutospacing="1"/>
              <w:rPr>
                <w:sz w:val="24"/>
                <w:szCs w:val="24"/>
              </w:rPr>
            </w:pPr>
            <w:r w:rsidRPr="00306FAE">
              <w:rPr>
                <w:sz w:val="24"/>
                <w:szCs w:val="24"/>
              </w:rPr>
              <w:t xml:space="preserve">Соглашение о величине договорной цены на предоставление простой неисключительной лицензии в течение срока действия </w:t>
            </w:r>
            <w:proofErr w:type="spellStart"/>
            <w:r w:rsidRPr="00306FAE">
              <w:rPr>
                <w:sz w:val="24"/>
                <w:szCs w:val="24"/>
              </w:rPr>
              <w:t>сублиц</w:t>
            </w:r>
            <w:r w:rsidRPr="00306FAE">
              <w:rPr>
                <w:sz w:val="24"/>
                <w:szCs w:val="24"/>
              </w:rPr>
              <w:t>ензионного</w:t>
            </w:r>
            <w:proofErr w:type="spellEnd"/>
            <w:r w:rsidRPr="00306FAE">
              <w:rPr>
                <w:sz w:val="24"/>
                <w:szCs w:val="24"/>
              </w:rPr>
              <w:t xml:space="preserve"> договора</w:t>
            </w:r>
            <w:r w:rsidRPr="00306FAE">
              <w:rPr>
                <w:sz w:val="24"/>
                <w:szCs w:val="24"/>
              </w:rPr>
              <w:t xml:space="preserve"> № WL/2020-1</w:t>
            </w:r>
            <w:r w:rsidRPr="00306FAE">
              <w:rPr>
                <w:b/>
                <w:sz w:val="24"/>
                <w:szCs w:val="24"/>
              </w:rPr>
              <w:t xml:space="preserve"> </w:t>
            </w:r>
            <w:r w:rsidRPr="00306FAE">
              <w:rPr>
                <w:sz w:val="24"/>
                <w:szCs w:val="24"/>
              </w:rPr>
              <w:t xml:space="preserve">от </w:t>
            </w:r>
            <w:proofErr w:type="gramStart"/>
            <w:r w:rsidRPr="00306FAE">
              <w:rPr>
                <w:sz w:val="24"/>
                <w:szCs w:val="24"/>
              </w:rPr>
              <w:t>« »</w:t>
            </w:r>
            <w:proofErr w:type="gramEnd"/>
            <w:r w:rsidRPr="00306FAE">
              <w:rPr>
                <w:sz w:val="24"/>
                <w:szCs w:val="24"/>
              </w:rPr>
              <w:t xml:space="preserve">  декабря 2020г. </w:t>
            </w:r>
            <w:r w:rsidRPr="00306FAE">
              <w:rPr>
                <w:sz w:val="24"/>
                <w:szCs w:val="24"/>
              </w:rPr>
              <w:t xml:space="preserve">одного экземпляра </w:t>
            </w:r>
            <w:proofErr w:type="spellStart"/>
            <w:r w:rsidRPr="00306FAE">
              <w:rPr>
                <w:color w:val="000000"/>
                <w:sz w:val="24"/>
                <w:szCs w:val="24"/>
              </w:rPr>
              <w:t>Wialon</w:t>
            </w:r>
            <w:proofErr w:type="spellEnd"/>
            <w:r w:rsidRPr="00306FAE">
              <w:rPr>
                <w:sz w:val="24"/>
                <w:szCs w:val="24"/>
              </w:rPr>
              <w:t xml:space="preserve"> </w:t>
            </w:r>
            <w:r w:rsidRPr="00306FAE">
              <w:rPr>
                <w:sz w:val="24"/>
                <w:szCs w:val="24"/>
              </w:rPr>
              <w:t xml:space="preserve"> согласован сторонами в </w:t>
            </w:r>
            <w:r>
              <w:rPr>
                <w:sz w:val="24"/>
                <w:szCs w:val="24"/>
              </w:rPr>
              <w:t>П</w:t>
            </w:r>
            <w:r w:rsidRPr="00306FAE">
              <w:rPr>
                <w:sz w:val="24"/>
                <w:szCs w:val="24"/>
              </w:rPr>
              <w:t xml:space="preserve">риложении № 1, являющемся неотъемлемой частью настоящего договора. </w:t>
            </w:r>
            <w:r w:rsidRPr="00306FAE">
              <w:rPr>
                <w:sz w:val="24"/>
                <w:szCs w:val="24"/>
              </w:rPr>
              <w:t>При про</w:t>
            </w:r>
            <w:r w:rsidRPr="00306FAE">
              <w:rPr>
                <w:sz w:val="24"/>
                <w:szCs w:val="24"/>
              </w:rPr>
              <w:t>длении срока действия договора не подлежит повторной оплате вне зависимости от количества таких про</w:t>
            </w:r>
            <w:r w:rsidRPr="00306FAE">
              <w:rPr>
                <w:sz w:val="24"/>
                <w:szCs w:val="24"/>
              </w:rPr>
              <w:t>длений только текущая версия ПО</w:t>
            </w:r>
            <w:r w:rsidRPr="00306FAE">
              <w:rPr>
                <w:sz w:val="24"/>
                <w:szCs w:val="24"/>
              </w:rPr>
              <w:t>, предоставленная по данному договору. Следующая версия ПО в соответствии с п. 3.5 предоставляется без взимания платы. Все последующие версии ПО предоставляются на условиях</w:t>
            </w:r>
            <w:r w:rsidRPr="00306FA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предусмотренных пунктами</w:t>
            </w:r>
            <w:r w:rsidRPr="00306FAE">
              <w:rPr>
                <w:sz w:val="24"/>
                <w:szCs w:val="24"/>
              </w:rPr>
              <w:t xml:space="preserve"> 2.5 и 3.3 договора</w:t>
            </w:r>
            <w:r>
              <w:rPr>
                <w:sz w:val="24"/>
                <w:szCs w:val="24"/>
              </w:rPr>
              <w:t xml:space="preserve">. </w:t>
            </w:r>
            <w:r w:rsidRPr="00E957B1">
              <w:rPr>
                <w:sz w:val="24"/>
                <w:szCs w:val="24"/>
              </w:rPr>
              <w:t xml:space="preserve">Передача прав по лицензионному договору на территории РФ не облагается налогом на добавленную стоимость в соответствии с </w:t>
            </w:r>
            <w:proofErr w:type="spellStart"/>
            <w:r w:rsidRPr="00E957B1">
              <w:rPr>
                <w:sz w:val="24"/>
                <w:szCs w:val="24"/>
              </w:rPr>
              <w:t>пп</w:t>
            </w:r>
            <w:proofErr w:type="spellEnd"/>
            <w:r w:rsidRPr="00E957B1">
              <w:rPr>
                <w:sz w:val="24"/>
                <w:szCs w:val="24"/>
              </w:rPr>
              <w:t>. 26 п. 2 ст. 149 НК РФ</w:t>
            </w:r>
            <w:r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E404" w14:textId="10C98EFB" w:rsidR="00FA07D7" w:rsidRDefault="006664C2" w:rsidP="006664C2">
            <w:pPr>
              <w:spacing w:before="100" w:beforeAutospacing="1"/>
              <w:ind w:left="-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редакции Сублицензиата</w:t>
            </w:r>
          </w:p>
        </w:tc>
      </w:tr>
    </w:tbl>
    <w:p w14:paraId="211958AC" w14:textId="77777777" w:rsidR="00FA57AB" w:rsidRDefault="00FA57AB" w:rsidP="00FA57AB">
      <w:pPr>
        <w:rPr>
          <w:bCs/>
          <w:color w:val="000000"/>
          <w:sz w:val="24"/>
          <w:szCs w:val="24"/>
        </w:rPr>
      </w:pPr>
    </w:p>
    <w:p w14:paraId="344756D6" w14:textId="0A6F9297" w:rsidR="0059173D" w:rsidRPr="0059173D" w:rsidRDefault="00FA07D7" w:rsidP="00926F73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</w:t>
      </w:r>
      <w:r w:rsidR="0059173D" w:rsidRPr="0059173D">
        <w:rPr>
          <w:bCs/>
          <w:color w:val="000000"/>
          <w:sz w:val="24"/>
          <w:szCs w:val="24"/>
        </w:rPr>
        <w:t xml:space="preserve">. Подписание настоящего протокола разногласий </w:t>
      </w:r>
      <w:r w:rsidR="009A3979">
        <w:rPr>
          <w:bCs/>
          <w:color w:val="000000"/>
          <w:sz w:val="24"/>
          <w:szCs w:val="24"/>
        </w:rPr>
        <w:t xml:space="preserve">Сублицензиаром </w:t>
      </w:r>
      <w:r w:rsidR="0059173D" w:rsidRPr="0059173D">
        <w:rPr>
          <w:bCs/>
          <w:color w:val="000000"/>
          <w:sz w:val="24"/>
          <w:szCs w:val="24"/>
        </w:rPr>
        <w:t xml:space="preserve">свидетельствует о его согласии на действие договора в редакции </w:t>
      </w:r>
      <w:r w:rsidR="009A3979">
        <w:rPr>
          <w:bCs/>
          <w:color w:val="000000"/>
          <w:sz w:val="24"/>
          <w:szCs w:val="24"/>
        </w:rPr>
        <w:t>Сублицензиата</w:t>
      </w:r>
      <w:r w:rsidR="0059173D" w:rsidRPr="0059173D">
        <w:rPr>
          <w:bCs/>
          <w:color w:val="000000"/>
          <w:sz w:val="24"/>
          <w:szCs w:val="24"/>
        </w:rPr>
        <w:t xml:space="preserve">, изложенной в данном </w:t>
      </w:r>
      <w:r w:rsidR="009A3979">
        <w:rPr>
          <w:bCs/>
          <w:color w:val="000000"/>
          <w:sz w:val="24"/>
          <w:szCs w:val="24"/>
        </w:rPr>
        <w:t>п</w:t>
      </w:r>
      <w:r w:rsidR="0059173D" w:rsidRPr="0059173D">
        <w:rPr>
          <w:bCs/>
          <w:color w:val="000000"/>
          <w:sz w:val="24"/>
          <w:szCs w:val="24"/>
        </w:rPr>
        <w:t>ротоколе.</w:t>
      </w:r>
    </w:p>
    <w:p w14:paraId="3F11C12B" w14:textId="77777777" w:rsidR="00FB53F3" w:rsidRPr="0059173D" w:rsidRDefault="00FB53F3" w:rsidP="00926F73">
      <w:pPr>
        <w:rPr>
          <w:bCs/>
          <w:color w:val="000000"/>
          <w:sz w:val="24"/>
          <w:szCs w:val="24"/>
        </w:rPr>
      </w:pPr>
    </w:p>
    <w:p w14:paraId="5FE3FADC" w14:textId="45F1B655" w:rsidR="00FB53F3" w:rsidRDefault="00FA07D7" w:rsidP="00FB53F3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3</w:t>
      </w:r>
      <w:r w:rsidR="0059173D" w:rsidRPr="0059173D">
        <w:rPr>
          <w:bCs/>
          <w:color w:val="000000"/>
          <w:sz w:val="24"/>
          <w:szCs w:val="24"/>
        </w:rPr>
        <w:t xml:space="preserve">. </w:t>
      </w:r>
      <w:r w:rsidR="00FB53F3" w:rsidRPr="0059173D">
        <w:rPr>
          <w:bCs/>
          <w:color w:val="000000"/>
          <w:sz w:val="24"/>
          <w:szCs w:val="24"/>
        </w:rPr>
        <w:t>Все иные пункты договора, не затронутые в данном протоколе, действуют в редакции, изложенной в договоре.</w:t>
      </w:r>
    </w:p>
    <w:p w14:paraId="78A14DDB" w14:textId="77777777" w:rsidR="00FB53F3" w:rsidRDefault="00FB53F3" w:rsidP="00926F73">
      <w:pPr>
        <w:rPr>
          <w:bCs/>
          <w:color w:val="000000"/>
          <w:sz w:val="24"/>
          <w:szCs w:val="24"/>
        </w:rPr>
      </w:pPr>
    </w:p>
    <w:p w14:paraId="097B567B" w14:textId="697BB5E4" w:rsidR="00FA57AB" w:rsidRDefault="00FA07D7" w:rsidP="00926F73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4</w:t>
      </w:r>
      <w:r w:rsidR="0059173D" w:rsidRPr="0059173D">
        <w:rPr>
          <w:bCs/>
          <w:color w:val="000000"/>
          <w:sz w:val="24"/>
          <w:szCs w:val="24"/>
        </w:rPr>
        <w:t xml:space="preserve">. </w:t>
      </w:r>
      <w:r w:rsidRPr="0059173D">
        <w:rPr>
          <w:bCs/>
          <w:color w:val="000000"/>
          <w:sz w:val="24"/>
          <w:szCs w:val="24"/>
        </w:rPr>
        <w:t>Настоящий протокол составлен в двух экземплярах, по одному для каждой из Сторон</w:t>
      </w:r>
      <w:r>
        <w:rPr>
          <w:bCs/>
          <w:color w:val="000000"/>
          <w:sz w:val="24"/>
          <w:szCs w:val="24"/>
        </w:rPr>
        <w:t xml:space="preserve">, </w:t>
      </w:r>
      <w:r w:rsidRPr="0059173D">
        <w:rPr>
          <w:bCs/>
          <w:color w:val="000000"/>
          <w:sz w:val="24"/>
          <w:szCs w:val="24"/>
        </w:rPr>
        <w:t>вступает</w:t>
      </w:r>
      <w:r w:rsidR="00FB53F3" w:rsidRPr="0059173D">
        <w:rPr>
          <w:bCs/>
          <w:color w:val="000000"/>
          <w:sz w:val="24"/>
          <w:szCs w:val="24"/>
        </w:rPr>
        <w:t xml:space="preserve"> в силу с момента подписания и становится неотъемлемой частью договора.</w:t>
      </w:r>
    </w:p>
    <w:p w14:paraId="5BB16E52" w14:textId="5F2E869E" w:rsidR="00FA57AB" w:rsidRDefault="00FA57AB" w:rsidP="00FA57AB">
      <w:p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976EE" w14:paraId="490BDBD7" w14:textId="77777777" w:rsidTr="008976EE">
        <w:tc>
          <w:tcPr>
            <w:tcW w:w="4672" w:type="dxa"/>
          </w:tcPr>
          <w:p w14:paraId="19F68195" w14:textId="003B267F" w:rsidR="008976EE" w:rsidRDefault="008976EE" w:rsidP="00FA57A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«</w:t>
            </w:r>
            <w:r w:rsidR="009A3979">
              <w:rPr>
                <w:bCs/>
                <w:color w:val="000000"/>
                <w:sz w:val="24"/>
                <w:szCs w:val="24"/>
              </w:rPr>
              <w:t>Сублицензиат</w:t>
            </w:r>
            <w:r>
              <w:rPr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673" w:type="dxa"/>
          </w:tcPr>
          <w:p w14:paraId="20D5E701" w14:textId="18941DD0" w:rsidR="008976EE" w:rsidRDefault="008976EE" w:rsidP="00FA57A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="009A3979">
              <w:rPr>
                <w:color w:val="000000"/>
                <w:sz w:val="24"/>
                <w:szCs w:val="24"/>
              </w:rPr>
              <w:t>Сублицен</w:t>
            </w:r>
            <w:r w:rsidR="008702F0">
              <w:rPr>
                <w:color w:val="000000"/>
                <w:sz w:val="24"/>
                <w:szCs w:val="24"/>
              </w:rPr>
              <w:t>з</w:t>
            </w:r>
            <w:r w:rsidR="009A3979">
              <w:rPr>
                <w:color w:val="000000"/>
                <w:sz w:val="24"/>
                <w:szCs w:val="24"/>
              </w:rPr>
              <w:t>иар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8976EE" w14:paraId="3AE93A0D" w14:textId="77777777" w:rsidTr="008976EE">
        <w:trPr>
          <w:trHeight w:val="1140"/>
        </w:trPr>
        <w:tc>
          <w:tcPr>
            <w:tcW w:w="4672" w:type="dxa"/>
          </w:tcPr>
          <w:p w14:paraId="1F04A90B" w14:textId="77777777" w:rsidR="00052184" w:rsidRDefault="00052184" w:rsidP="00FA57AB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14:paraId="4D251892" w14:textId="4E377972" w:rsidR="008976EE" w:rsidRPr="008976EE" w:rsidRDefault="0059173D" w:rsidP="00FA57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ЗА</w:t>
            </w:r>
            <w:r w:rsidR="008976EE" w:rsidRPr="008976EE">
              <w:rPr>
                <w:b/>
                <w:bCs/>
                <w:color w:val="000000"/>
                <w:sz w:val="24"/>
                <w:szCs w:val="24"/>
              </w:rPr>
              <w:t>О «СПГЭС»</w:t>
            </w:r>
          </w:p>
          <w:p w14:paraId="7E846DC6" w14:textId="782AB62D" w:rsidR="008976EE" w:rsidRDefault="008976EE" w:rsidP="00FA57AB">
            <w:pPr>
              <w:rPr>
                <w:bCs/>
                <w:color w:val="000000"/>
                <w:sz w:val="24"/>
                <w:szCs w:val="24"/>
              </w:rPr>
            </w:pPr>
          </w:p>
          <w:p w14:paraId="199BDD01" w14:textId="58AAD9DD" w:rsidR="00926F73" w:rsidRDefault="00926F73" w:rsidP="00FA57A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Генеральный директор</w:t>
            </w:r>
          </w:p>
          <w:p w14:paraId="3AFD6D00" w14:textId="2AD3C2FD" w:rsidR="008976EE" w:rsidRDefault="008976EE" w:rsidP="00FA57AB">
            <w:pPr>
              <w:rPr>
                <w:bCs/>
                <w:color w:val="000000"/>
                <w:sz w:val="24"/>
                <w:szCs w:val="24"/>
              </w:rPr>
            </w:pPr>
          </w:p>
          <w:p w14:paraId="66FDB612" w14:textId="3FCF8920" w:rsidR="008976EE" w:rsidRDefault="008976EE" w:rsidP="00FA57A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_____________________</w:t>
            </w:r>
            <w:r>
              <w:rPr>
                <w:color w:val="000000"/>
                <w:sz w:val="24"/>
                <w:szCs w:val="24"/>
              </w:rPr>
              <w:t xml:space="preserve"> /</w:t>
            </w:r>
            <w:r w:rsidR="0059173D">
              <w:rPr>
                <w:color w:val="000000"/>
                <w:sz w:val="24"/>
                <w:szCs w:val="24"/>
              </w:rPr>
              <w:t>Козин С.В.</w:t>
            </w:r>
            <w:r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4673" w:type="dxa"/>
          </w:tcPr>
          <w:p w14:paraId="7551BE99" w14:textId="77777777" w:rsidR="00052184" w:rsidRDefault="00052184" w:rsidP="00FA57AB">
            <w:pPr>
              <w:rPr>
                <w:b/>
                <w:sz w:val="24"/>
                <w:szCs w:val="24"/>
              </w:rPr>
            </w:pPr>
          </w:p>
          <w:p w14:paraId="140B9915" w14:textId="7C0B778C" w:rsidR="008976EE" w:rsidRDefault="009A3979" w:rsidP="00FA57AB">
            <w:pPr>
              <w:rPr>
                <w:bCs/>
                <w:color w:val="000000"/>
                <w:sz w:val="24"/>
                <w:szCs w:val="24"/>
              </w:rPr>
            </w:pPr>
            <w:r w:rsidRPr="009A3979">
              <w:rPr>
                <w:b/>
                <w:sz w:val="24"/>
                <w:szCs w:val="24"/>
              </w:rPr>
              <w:t>ИП Нестеров Андрей Викторович</w:t>
            </w:r>
          </w:p>
          <w:p w14:paraId="405A997C" w14:textId="2D74CC4D" w:rsidR="008976EE" w:rsidRDefault="008976EE" w:rsidP="00FA57AB">
            <w:pPr>
              <w:rPr>
                <w:bCs/>
                <w:color w:val="000000"/>
                <w:sz w:val="24"/>
                <w:szCs w:val="24"/>
              </w:rPr>
            </w:pPr>
          </w:p>
          <w:p w14:paraId="740D09CE" w14:textId="78407827" w:rsidR="00926F73" w:rsidRDefault="00926F73" w:rsidP="00FA57AB">
            <w:pPr>
              <w:rPr>
                <w:bCs/>
                <w:color w:val="000000"/>
                <w:sz w:val="24"/>
                <w:szCs w:val="24"/>
              </w:rPr>
            </w:pPr>
          </w:p>
          <w:p w14:paraId="5C4E5BD7" w14:textId="77777777" w:rsidR="009A3979" w:rsidRDefault="009A3979" w:rsidP="00FA57AB">
            <w:pPr>
              <w:rPr>
                <w:bCs/>
                <w:color w:val="000000"/>
                <w:sz w:val="24"/>
                <w:szCs w:val="24"/>
              </w:rPr>
            </w:pPr>
          </w:p>
          <w:p w14:paraId="2E3ED11E" w14:textId="62E97542" w:rsidR="008976EE" w:rsidRDefault="008976EE" w:rsidP="00FA57A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____________________ /</w:t>
            </w:r>
            <w:r w:rsidR="009A3979">
              <w:rPr>
                <w:bCs/>
                <w:color w:val="000000"/>
                <w:sz w:val="24"/>
                <w:szCs w:val="24"/>
              </w:rPr>
              <w:t>Нестеров А.В.</w:t>
            </w:r>
            <w:r>
              <w:rPr>
                <w:color w:val="000000"/>
                <w:sz w:val="24"/>
                <w:szCs w:val="24"/>
              </w:rPr>
              <w:t>/</w:t>
            </w:r>
          </w:p>
        </w:tc>
      </w:tr>
      <w:tr w:rsidR="008976EE" w14:paraId="0F7D60AA" w14:textId="77777777" w:rsidTr="008976EE">
        <w:tc>
          <w:tcPr>
            <w:tcW w:w="4672" w:type="dxa"/>
          </w:tcPr>
          <w:p w14:paraId="2064C982" w14:textId="383341A7" w:rsidR="008976EE" w:rsidRDefault="008976EE" w:rsidP="00FA57A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МП</w:t>
            </w:r>
            <w:r>
              <w:rPr>
                <w:color w:val="000000"/>
                <w:sz w:val="24"/>
                <w:szCs w:val="24"/>
              </w:rPr>
              <w:t xml:space="preserve">      дата</w:t>
            </w:r>
          </w:p>
        </w:tc>
        <w:tc>
          <w:tcPr>
            <w:tcW w:w="4673" w:type="dxa"/>
          </w:tcPr>
          <w:p w14:paraId="55935053" w14:textId="30912011" w:rsidR="008976EE" w:rsidRDefault="008976EE" w:rsidP="00FA57A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МП    </w:t>
            </w:r>
            <w:r>
              <w:rPr>
                <w:color w:val="000000"/>
                <w:sz w:val="24"/>
                <w:szCs w:val="24"/>
              </w:rPr>
              <w:t>дата</w:t>
            </w:r>
          </w:p>
        </w:tc>
      </w:tr>
    </w:tbl>
    <w:p w14:paraId="5E097F66" w14:textId="0CC834F9" w:rsidR="006C1265" w:rsidRPr="006C1265" w:rsidRDefault="006C1265" w:rsidP="0096290B">
      <w:pPr>
        <w:rPr>
          <w:bCs/>
          <w:color w:val="000000"/>
          <w:sz w:val="24"/>
          <w:szCs w:val="24"/>
        </w:rPr>
      </w:pPr>
    </w:p>
    <w:sectPr w:rsidR="006C1265" w:rsidRPr="006C1265" w:rsidSect="00AA1F3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927967"/>
    <w:multiLevelType w:val="hybridMultilevel"/>
    <w:tmpl w:val="8140E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5AA"/>
    <w:rsid w:val="00041B46"/>
    <w:rsid w:val="00052184"/>
    <w:rsid w:val="002504E2"/>
    <w:rsid w:val="00261A0F"/>
    <w:rsid w:val="002B2D59"/>
    <w:rsid w:val="00306FAE"/>
    <w:rsid w:val="00386E2A"/>
    <w:rsid w:val="0059173D"/>
    <w:rsid w:val="005A2047"/>
    <w:rsid w:val="00652E19"/>
    <w:rsid w:val="006664C2"/>
    <w:rsid w:val="006C1265"/>
    <w:rsid w:val="006D4B06"/>
    <w:rsid w:val="0074285F"/>
    <w:rsid w:val="007A7048"/>
    <w:rsid w:val="008702F0"/>
    <w:rsid w:val="008976EE"/>
    <w:rsid w:val="008C4B6C"/>
    <w:rsid w:val="00924440"/>
    <w:rsid w:val="00926F73"/>
    <w:rsid w:val="0096290B"/>
    <w:rsid w:val="009A3979"/>
    <w:rsid w:val="009F3927"/>
    <w:rsid w:val="00A857DC"/>
    <w:rsid w:val="00AA1F34"/>
    <w:rsid w:val="00B27366"/>
    <w:rsid w:val="00BA7BC1"/>
    <w:rsid w:val="00BF41A6"/>
    <w:rsid w:val="00C317B2"/>
    <w:rsid w:val="00C92E19"/>
    <w:rsid w:val="00D32905"/>
    <w:rsid w:val="00D7745E"/>
    <w:rsid w:val="00DF2A02"/>
    <w:rsid w:val="00E957B1"/>
    <w:rsid w:val="00EA05AA"/>
    <w:rsid w:val="00F109DB"/>
    <w:rsid w:val="00F61AD5"/>
    <w:rsid w:val="00FA07D7"/>
    <w:rsid w:val="00FA57AB"/>
    <w:rsid w:val="00FB0A81"/>
    <w:rsid w:val="00FB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B968D"/>
  <w15:chartTrackingRefBased/>
  <w15:docId w15:val="{BE9DC94A-B6C6-4F63-A96C-6AF22DDA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7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57A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39"/>
    <w:rsid w:val="00897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A704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704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FA07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0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 Андрей Павлович</dc:creator>
  <cp:keywords/>
  <dc:description/>
  <cp:lastModifiedBy>Ольга</cp:lastModifiedBy>
  <cp:revision>3</cp:revision>
  <cp:lastPrinted>2019-07-24T12:26:00Z</cp:lastPrinted>
  <dcterms:created xsi:type="dcterms:W3CDTF">2020-12-29T10:11:00Z</dcterms:created>
  <dcterms:modified xsi:type="dcterms:W3CDTF">2020-12-29T10:18:00Z</dcterms:modified>
</cp:coreProperties>
</file>