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236"/>
        <w:gridCol w:w="706"/>
        <w:gridCol w:w="433"/>
        <w:gridCol w:w="381"/>
        <w:gridCol w:w="236"/>
        <w:gridCol w:w="155"/>
        <w:gridCol w:w="236"/>
        <w:gridCol w:w="197"/>
        <w:gridCol w:w="834"/>
        <w:gridCol w:w="433"/>
        <w:gridCol w:w="326"/>
        <w:gridCol w:w="236"/>
        <w:gridCol w:w="42"/>
        <w:gridCol w:w="113"/>
        <w:gridCol w:w="197"/>
        <w:gridCol w:w="39"/>
        <w:gridCol w:w="197"/>
        <w:gridCol w:w="236"/>
        <w:gridCol w:w="363"/>
        <w:gridCol w:w="433"/>
        <w:gridCol w:w="24"/>
        <w:gridCol w:w="391"/>
        <w:gridCol w:w="433"/>
        <w:gridCol w:w="306"/>
        <w:gridCol w:w="391"/>
        <w:gridCol w:w="433"/>
        <w:gridCol w:w="1063"/>
        <w:gridCol w:w="325"/>
        <w:gridCol w:w="236"/>
        <w:gridCol w:w="155"/>
        <w:gridCol w:w="197"/>
        <w:gridCol w:w="39"/>
        <w:gridCol w:w="197"/>
        <w:gridCol w:w="236"/>
      </w:tblGrid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ДОГОВОР № 941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на оказание платных услуг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0C52AC" w:rsidTr="000C52AC">
        <w:trPr>
          <w:gridAfter w:val="2"/>
          <w:wAfter w:w="433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214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г. Саратов</w:t>
            </w:r>
          </w:p>
        </w:tc>
        <w:tc>
          <w:tcPr>
            <w:tcW w:w="1267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1386" w:type="dxa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79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84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11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  <w:tc>
          <w:tcPr>
            <w:tcW w:w="2212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</w:rPr>
              <w:t>________ 2022 г.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ФЕДЕРАЛЬНОЕ БЮДЖЕТНОЕ УЧРЕЖДЕНИЕ ЗДРАВООХРАНЕНИЯ "ЦЕНТР ГИГИЕНЫ И ЭПИДЕМИОЛОГИИ В САРАТОВСКОЙ ОБЛАСТИ", именуемое в дальнейшем "Исполнитель", в лице временно исполняющего обязанности главного врача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Кудря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Веры Викторовны, действующего на основании Устава и приказа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Роспотребнадзора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от 22.02.2022 № 2-б/с-о и доверенности от 09.03.2022г. №09, с одной стороны, и ЗАО «СПГЭС», именуемый в дальнейшем «Заказчик», в лице первого заместителя генерального директора Стрелина Евгения Николаевича, действующего(ей) на основании доверенности от 12.01.2018 № 2, с другой стороны, далее совместно именуемые «Стороны», а по отдельности – «Сторона», заключили настоящий договор об оказании услуг (далее – Договор) о нижеследующем: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1. ПРЕДМЕТ ДОГОВОРА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1.1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Согласно настоящему договору Исполнитель по поручению Заказчика оказывает согласованные с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Заказчиком  виды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услуг:  согласно спецификации являющейся неотъемлемой частью договора,  а Заказчик  обязуется  своевременно и в полном объеме  оплатить эти услуги.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 ПОРЯДОК ОКАЗАНИЯ УСЛУГ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Исполнитель самостоятельно определяет способы (методы, методики, инструкции), в соответствии с которыми оказывает Заказчику услуги.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Исполнитель приступает к оказанию услуг с момента предоставления Заказчиком необходимых материалов (или части необходимых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материалов)  и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информации (документации, образцов)  и/или  с момента предоставления возможности их получения (обследования объекта, отбора образцов Исполнителем и т.д.).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2.3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Услуга оказывается Исполнителем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в  сроки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,  установленные действующим законодательством и/или методиками (стандартами, инструкциями, регламентами и т.д.), в соответствии с которыми эти услуги оказываются, и не считается просроченной, если  к моменту окончания срока, установленного действующим законодательством, Заказчиком предоставлены не все материалы, для оказания данного вида услуги.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2.4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Услуга может быть оказана до окончания срока, если Заказчиком предоставлены материалы, указанные в п.2.3, своевременно и в полном объеме для оказания данного вида услуги, или срок её может быть продлен по соглашению сторон, о чем Заказчик информирует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Исполнителя .</w:t>
            </w:r>
            <w:proofErr w:type="gramEnd"/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2.5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Результатом оказания Исполнителем услуг, свидетельствующим о завершении их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оказания,  являются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оформленные  в установленном порядке документы: экспертные заключения и/или акты  обследования (расследования)  и/или протоколы лабораторных исследований, а также медицинские книжки,  либо иные документы, выдаваемые Исполнителем в рамках предусмотренной уставом деятельности.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2.6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Результаты оказанных Исполнителем услуг выдаются Заказчику после их полной оплаты. О готовности результатов оказанных услуг к передаче Заказчику, последний информируется по указанному в заявлении каналам связи (телефон, электронное сообщение и т.д.).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2.7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По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окончании  оказания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услуг составляется  акт об оказанных услугах, подписанный сторонами Договора или только Исполнителем (односторонний акт)  в случаях, предусмотренных п.2.8 настоящего Договора.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2.8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 случае, если Заказчик в течение 15 (пятнадцати) рабочих дней после окончания оказания услуг (выполнения работ) и уведомления (по телефону, факсу, электронной почте и проч.) не произвел прием выполненных услуг (не забрал готовые к выдаче экспертные заключения, протоколы лабораторных исследований и т.д.,  не подписал акт оказанных услуг, не дал мотивированного отказа в приеме услуг и не предъявил претензий по их качеству), услуги считаются выполненными (оказанными) в срок, в нужном  объеме и надлежащего качества.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3. ОБЯЗАННОСТИ СТОРОН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9F72E1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bookmarkStart w:id="0" w:name="_GoBack"/>
            <w:bookmarkEnd w:id="0"/>
            <w:r w:rsidR="000C52AC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Заказчик обязуется: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оплачивать услуги Исполнителя,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оказывать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содействие Исполнителю в оказании им услуг: обеспечивать необходимыми документами,  необходимым количеством исследуемого материала, предоставлением необходимой информации, предоставлением возможности выезда и  обследования объекта Заказчика, подробным ознакомлением Исполнителя с технологическим процессом (если это вытекает из предмета договора),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предоставлять Исполнителю необходимые для контакта данные (телефон, факс, электронный адрес и т. д.) и назначить контактное лицо ответственное за решение вопросов по исполнению настоящего договора.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3.2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Исполнитель обязан: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сохранять конфиденциальность информации, полученной от заказчика или ставшей известной в ходе оказания Заказчику услуг о разглашении информации в случаях, предусмотренных законом,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оповестить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Заказчика (или заинтересованное лицо) по любому средству связи, предоставленному заказчиком, о разглашении информации о заказчике (об объекте заказчика), полученной в ходе оказания услуг,  не позднее, чем за 3 дня до направления её заинтересованным лицам,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оповестить Заказчика (или заинтересованное лицо) по любому средству связи (телефон, факс, электронная почта и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т.д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), предоставленному заказчиком, о недостаточности или неполноте представленных им материалов и неблагоприятных последствиях не исполнения Заказчиком п.3.1,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оповестить Заказчика о неприемлемости способа (метода) оказания услуг, предложенного Заказчиком, по любому средству связи, предоставленному заказчиком,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оказывать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услуги качественно, т.е. в соответствии с утвержденными методиками (регламентами, гигиеническими нормативами, санитарными правилами, методическими указаниями и рекомендациями,  инструкциями, стандартами, локальными нормативными актами, регулирующими вопросы функционирования системы менеджмента качества),  с соблюдением принципов объективности, беспристрастности, независимости,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по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окончанию оказания услуг оформлять и представлять Заказчику соответствующие  акты и счета-фактуры.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4. РАСЧЕТЫ ПО ДОГОВОРУ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4.1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Стоимость услуг по настоящему договору формируется на основании расценок, утвержденных Исполнителем (прейскуранта цен), и может быть изменена Исполнителем в случаях, если для оказания услуг надлежащего качества возникла  необходимость в оказании дополнительных услуг, а в момент заключения договора исключалась возможность предусмотреть  потребность в их оказании  или в случае изменения расценок на оказываемые услуги, о чем Исполнитель извещает Заказчика до начала оказания очередного этапа услуг.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4.2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Конкретная сумма оплаты за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оказание  услуг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указывается в счетах Исполнителя,  которые составляются на основании потребности Заказчика, указанной  в настоящем Договоре или дополнительной заявке, и направляются Заказчику любым способом, указанным заказчиком (личное вручение, через представителя, факс, электронная почта)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4.3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Порядок оплаты: предоплата 100%, в т. ч. НДС, на основании выставленного счета.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4.4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Государственные  и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муниципальные  учреждения (предприятия)  производят оплату  в размере 30 %  от стоимости оказываемых услуг, указанных в счете Исполнителя. Окончательный расчет в размере 70% после окончания выполненных работ (услуг)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  подписания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акта выполненных работ (услуг), в течение 3-х банковских дней с момента получения счета-фактуры, акта выполненных работ.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4.5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Сумма договора составляет 100 142 (Сто тысяч сто сорок два рубля 00 копеек), в том числе 20% НДС 16 690,31 (Шестнадцать тысяч шестьсот девяносто рублей 31 копейка).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83" w:type="dxa"/>
            <w:gridSpan w:val="3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5. ОТВЕТСТВЕННОСТЬ СТОРОН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5.1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 случае неисполнения обязательств, предусмотренных настоящим договором, стороны несут ответственность, предусмотренную законодательством.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5.2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Исполнитель  несет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ответственность за разглашение конфиденциальной информации, которая стала ему известна в процессе исполнения обязательств, предусмотренных настоящим договором.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5.3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Исполнитель несет ответственность за сохранность представленных Заказчиком подлинных материалов (документов), и не несет ответственности за сохранность предоставленных Заказчиком или отобранных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Исполнителем  на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исследования образцов (проб), которые в силу утвержденных методик утратили свои первоначальные свойства (были израсходованы) для проведения исследований.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5.4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 случае возникновения разногласий по выполнению настоящего договора, они разрешаются путем переговоров, а при не достижении согласия – в установленном законодательством порядке. Претензионный характер досудебного урегулирования обязателен. Срок рассмотрения претензий – 30 дней.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83" w:type="dxa"/>
            <w:gridSpan w:val="3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6. ОБСТОЯТЕЛЬСТВА НЕПРЕОДОЛИМОЙ СИЛЫ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6.1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изданием актов органов государственной власти.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6.2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срок, известить другую Сторону в письменном виде о таких обстоятельствах и их влиянии на исполнение обязательств по настоящему Договору.</w:t>
            </w:r>
            <w:r>
              <w:rPr>
                <w:rFonts w:ascii="Arial" w:hAnsi="Arial"/>
                <w:sz w:val="20"/>
                <w:szCs w:val="20"/>
              </w:rPr>
              <w:br/>
              <w:t>В случае неисполнения Стороной обязанности, предусмотренной в настоящем пункте, она лишается права ссылаться на обстоятельства непреодолимой силы как на обстоятельство, освобождающее ее от ответственности за ненадлежащее исполнение или неисполнение обязательств по настоящему Договору.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6.4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6.5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Если обстоятельства непреодолимой силы действуют на протяжении 3 (трех) последовательных месяцев, Договор может быть расторгнут по соглашению Сторон, либо в одностороннем порядке по инициативе заинтересованной Стороны.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83" w:type="dxa"/>
            <w:gridSpan w:val="3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 АНТИКОРРУПЦИОННАЯ ОГОВОРКА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Каждая из Сторон подтверждает, что ни сама Сторона, ни ее руководство или работники не предлагали, не обещали, не требовали, не принимали деньги, ценные бумаги, иное имущество или услуги, связанные с заключением или исполнением настоящего Договора.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Стороны обязуются в течение всего срока действия настоящего Договора и после его истечения принять все разумные меры для недопущения действий, указанных в настоящем разделе, в том числе со стороны руководства или работников Сторон, третьих лиц.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7.3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Стороны обязуются соблюдать, а также обеспечивать соблюдение их руководством, работниками и третьими лицами, привлеченными к исполнению договора, настоящей оговорки, а также оказывать друг другу содействие в случае действительного или возможного нарушения ее требований.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7.4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Сторонам, их руководителям и работникам запрещается:</w:t>
            </w:r>
            <w:r>
              <w:rPr>
                <w:rFonts w:ascii="Arial" w:hAnsi="Arial"/>
                <w:sz w:val="20"/>
                <w:szCs w:val="20"/>
              </w:rPr>
              <w:br/>
              <w:t>- передавать или предлагать денежные средства, ценные бумаги или иное имущество, безвозмездно выполнять работы (оказывать услуги) и т. д. представителям публичных органов власти, должностным лицам, лицам, которые являются близкими родственниками представителей публичных органов власти или должностных лиц, либо лицам, иным образом связанным с государством, в целях неправомерного получения преимуществ для Сторон, их руководства, работников или третьих лиц, привлеченных к исполнению договора;</w:t>
            </w:r>
            <w:r>
              <w:rPr>
                <w:rFonts w:ascii="Arial" w:hAnsi="Arial"/>
                <w:sz w:val="20"/>
                <w:szCs w:val="20"/>
              </w:rPr>
              <w:br/>
              <w:t>- передавать или предлагать денежные средства, ценные бумаги или иное имущество, безвозмездно выполнять работы (оказывать услуги) и т. д. работникам или руководству другой Стороны с целью обеспечить совершение ими каких-либо действий в пользу стимулирующей Стороны;</w:t>
            </w:r>
            <w:r>
              <w:rPr>
                <w:rFonts w:ascii="Arial" w:hAnsi="Arial"/>
                <w:sz w:val="20"/>
                <w:szCs w:val="20"/>
              </w:rPr>
              <w:br/>
              <w:t>- совершать иные действия, нарушающие действующее антикоррупционное законодательство Российской Федерации.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7.5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об этом в письменной форме. Указанная Сторона имеет право приостановить исполнение обязательств по настоящему Договору до получения подтверждения от другой Стороны, что нарушение не произошло или не произойдет.</w:t>
            </w:r>
            <w:r>
              <w:rPr>
                <w:rFonts w:ascii="Arial" w:hAnsi="Arial"/>
                <w:sz w:val="20"/>
                <w:szCs w:val="20"/>
              </w:rPr>
              <w:br/>
              <w:t>Подтверждение должно быть направлено не позднее 10 (Десяти) рабочих дней с даты получения письменного уведомления.</w:t>
            </w:r>
            <w:r>
              <w:rPr>
                <w:rFonts w:ascii="Arial" w:hAnsi="Arial"/>
                <w:sz w:val="20"/>
                <w:szCs w:val="20"/>
              </w:rPr>
              <w:br/>
              <w:t>Каналы уведомления Заказчика о каких-либо нарушениях настоящего раздела:___________________</w:t>
            </w:r>
            <w:r>
              <w:rPr>
                <w:rFonts w:ascii="Arial" w:hAnsi="Arial"/>
                <w:sz w:val="20"/>
                <w:szCs w:val="20"/>
              </w:rPr>
              <w:br/>
              <w:t>Каналы уведомления Исполнителя о каких-либо нарушениях настоящего раздела: 8(8452) 39-39-93, электронная почта: fbuz@gigiena-saratov.ru.</w:t>
            </w:r>
            <w:r>
              <w:rPr>
                <w:rFonts w:ascii="Arial" w:hAnsi="Arial"/>
                <w:sz w:val="20"/>
                <w:szCs w:val="20"/>
              </w:rPr>
              <w:br/>
              <w:t>Стороны гарантируют осуществление надлежащего разбирательства по фактам нарушения положений настоящего раздела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7.6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 случае если нарушение одной из Сторон настоящего раздела подтвердится, другая Сторона имеет право расторгнуть настоящий Договор в одностороннем порядке, направив письменное уведомление о расторжении.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 ЗАКЛЮЧИТЕЛЬНЫЕ ПОЛОЖЕНИЯ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8.1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Настоящий договор считается заключенным с момента подписания Договора Заказчиком или направлением Исполнителю   на рассмотрение протокола разногласий к Договору в течение 10 дней с момента получения оферты и действует по 30.12.2022 года.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8.2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Все изменения и дополнения к настоящему Договору оформляются дополнительными соглашениями, подписанными Сторонами, которые становятся неотъемлемыми частями настоящего Договора.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8.3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При наступлении обстоятельств, когда данное соглашение препятствует Исполнителю в достижении целей, ради которых учреждение создано, т.е. для обеспечения реализации предусмотренных законодательством Российской Федерации полномочий органов государственной власти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аффилированность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), настоящий Договор расторгается в одностороннем порядке, о чем Исполнитель уведомляет Заказчика в письменной форме, в том числе по факсимильной связи или электронной почте не менее, чем за 3 (три) календарных дня до даты его расторжения.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81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8.4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Заказчик вправе отказаться от исполнения Договора при условии оплаты Исполнителю фактически понесенных им расходов, с предупреждением о расторжении Договора в письменном виде не менее, чем за 30 (тридцать) календарных дней до расторжения настоящего Договора.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8.5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 соответствии с требованиями Федерального законодательства (пункт 4 Приложения к приказу Минэкономразвития России от 24.10.2020 № 704) сведения о Заказчике и результатах лабораторных и инспекционных работ передаются в Федеральную государственную информационную систему Федеральной службы по аккредитации.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8.6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По всем иным, не урегулированным настоящим Договорам вопросам, стороны руководствуются действующим законодательством.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8.7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Все приложения к настоящему Договору являются его неотъемлемыми частями.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1"/>
          <w:wAfter w:w="236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8.8</w:t>
            </w:r>
          </w:p>
        </w:tc>
        <w:tc>
          <w:tcPr>
            <w:tcW w:w="9983" w:type="dxa"/>
            <w:gridSpan w:val="31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Настоящий договор подписан в двух идентичных экземплярах, имеющих равную юридическую силу, по одному экземпляру для каждой из Сторон.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632" w:type="dxa"/>
            <w:gridSpan w:val="2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9. РЕКВИЗИТЫ И ПОДПИСИ СТОРОН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75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0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6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386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4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Лицензия на осуществление медицинской деятельности № ФС-64-01-001675 от 08.11. 2013 г.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100. При оказании первичной, в т.ч. доврачебной, врачебной и специализированной, медико-санитарной помощи организуются и выполняются следующие работы (услуги):</w:t>
            </w:r>
            <w:r>
              <w:rPr>
                <w:rFonts w:ascii="Arial" w:hAnsi="Arial"/>
                <w:sz w:val="20"/>
                <w:szCs w:val="20"/>
              </w:rPr>
              <w:br/>
              <w:t>100.1. при оказании первичной доврачебной медико-санитарной помощи в амбулаторных условиях по:</w:t>
            </w:r>
            <w:r>
              <w:rPr>
                <w:rFonts w:ascii="Arial" w:hAnsi="Arial"/>
                <w:sz w:val="20"/>
                <w:szCs w:val="20"/>
              </w:rPr>
              <w:br/>
              <w:t>100.1.6. гигиеническому воспитанию</w:t>
            </w:r>
            <w:r>
              <w:rPr>
                <w:rFonts w:ascii="Arial" w:hAnsi="Arial"/>
                <w:sz w:val="20"/>
                <w:szCs w:val="20"/>
              </w:rPr>
              <w:br/>
              <w:t xml:space="preserve">100.1.8.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дезинфектологии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br/>
              <w:t>100.1.9. лабораторному делу</w:t>
            </w:r>
            <w:r>
              <w:rPr>
                <w:rFonts w:ascii="Arial" w:hAnsi="Arial"/>
                <w:sz w:val="20"/>
                <w:szCs w:val="20"/>
              </w:rPr>
              <w:br/>
              <w:t>100.1.33. эпидемиологии</w:t>
            </w:r>
            <w:r>
              <w:rPr>
                <w:rFonts w:ascii="Arial" w:hAnsi="Arial"/>
                <w:sz w:val="20"/>
                <w:szCs w:val="20"/>
              </w:rPr>
              <w:br/>
              <w:t>100.4. при оказании первичной специализированной медико-санитарной помощи в амбулаторных условиях по:</w:t>
            </w:r>
            <w:r>
              <w:rPr>
                <w:rFonts w:ascii="Arial" w:hAnsi="Arial"/>
                <w:sz w:val="20"/>
                <w:szCs w:val="20"/>
              </w:rPr>
              <w:br/>
              <w:t>100.4.8. бактериологии</w:t>
            </w:r>
            <w:r>
              <w:rPr>
                <w:rFonts w:ascii="Arial" w:hAnsi="Arial"/>
                <w:sz w:val="20"/>
                <w:szCs w:val="20"/>
              </w:rPr>
              <w:br/>
              <w:t>100.4.9. вирусологии</w:t>
            </w:r>
            <w:r>
              <w:rPr>
                <w:rFonts w:ascii="Arial" w:hAnsi="Arial"/>
                <w:sz w:val="20"/>
                <w:szCs w:val="20"/>
              </w:rPr>
              <w:br/>
              <w:t>100.4.15. гигиеническому воспитанию</w:t>
            </w:r>
            <w:r>
              <w:rPr>
                <w:rFonts w:ascii="Arial" w:hAnsi="Arial"/>
                <w:sz w:val="20"/>
                <w:szCs w:val="20"/>
              </w:rPr>
              <w:br/>
              <w:t>100.4.51. паразитологии</w:t>
            </w:r>
            <w:r>
              <w:rPr>
                <w:rFonts w:ascii="Arial" w:hAnsi="Arial"/>
                <w:sz w:val="20"/>
                <w:szCs w:val="20"/>
              </w:rPr>
              <w:br/>
              <w:t>100.4.86. энтомологии</w:t>
            </w:r>
            <w:r>
              <w:rPr>
                <w:rFonts w:ascii="Arial" w:hAnsi="Arial"/>
                <w:sz w:val="20"/>
                <w:szCs w:val="20"/>
              </w:rPr>
              <w:br/>
              <w:t>100.4.87. эпидемиологии.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Лицензия на осуществление деятельности, связанной с использованием возбудителей инфекционных заболеваний № 77.99.03.001.Л.001076.08.05 от 15.08.2005 г. выдана Федеральной службой по надзору в сфере защиты прав потребителей и благополучия человека (г. Москва,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Вадковский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переулок, д.18, строения 5/7, тел. 8 499 973 15 60) на деятельность, связанную с использованием возбудителей инфекционных заболеваний 2-4 групп патогенности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Лицензия  №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64.01.11.002.Л.000001.02.16  от 12.02.2016 г.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деятельности). Виды работ (услуг) выполняемых (оказываемых) в составе лицензируемого вида деятельности: Техническое обслуживание источников ионизирующего излучения (генерирующих). Радиационный контроль.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15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18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15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  <w:trHeight w:val="15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786" w:type="dxa"/>
            <w:gridSpan w:val="3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135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0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6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386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4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3414" w:type="dxa"/>
            <w:gridSpan w:val="9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Исполнитель:</w:t>
            </w:r>
          </w:p>
        </w:tc>
        <w:tc>
          <w:tcPr>
            <w:tcW w:w="1386" w:type="dxa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986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Заказчик: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b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ФБУЗ «ЦЕНТР ГИГИЕНЫ И ЭПИДЕМИОЛОГИИ В САРАТОВСКОЙ ОБЛАСТИ»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b/>
                <w:sz w:val="16"/>
                <w:szCs w:val="20"/>
              </w:rPr>
            </w:pPr>
          </w:p>
        </w:tc>
        <w:tc>
          <w:tcPr>
            <w:tcW w:w="4986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ЗАО «СПГЭС»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b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ИНН/КПП 6450606762/645001001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ИНН/КПП 6454006283/645401001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ОГРН 1056405412964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ОГРН 1026403349950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ОКВЭД 86.90.1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ОКВЭД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ОКТМО 63701000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ОКТМО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КБК 00000000000000130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КБК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Р/С 03214643000000016000, УФК по Саратовской области (ФБУЗ "ЦЕНТР ГИГИЕНЫ И ЭПИДЕМИОЛОГИИ В САРАТОВСКОЙ ОБЛАСТИ", л/с 20606U60360), в ОТДЕЛЕНИЕ САРАТОВ БАНКА РОССИИ//УФК по Саратовской области г Саратов, к/с 40102810845370000052, БИК 016311121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Р/С 40702810656020101710</w:t>
            </w:r>
          </w:p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Поволжский банк ПАО Сбербанк</w:t>
            </w:r>
          </w:p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к/с 30101810200000000607</w:t>
            </w:r>
          </w:p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БИК 043601607</w:t>
            </w:r>
          </w:p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ОКПО 03300091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Адрес 410031, Саратовская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обл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Саратов г, Большая Горная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ул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дом № 69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5222" w:type="dxa"/>
            <w:gridSpan w:val="1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Адрес 410056, Саратовская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обл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Саратов г,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Белоглинская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ул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дом № 40</w:t>
            </w: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564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986" w:type="dxa"/>
            <w:gridSpan w:val="1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225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0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6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60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31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4986" w:type="dxa"/>
            <w:gridSpan w:val="1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2"/>
          <w:wAfter w:w="433" w:type="dxa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4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Врио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главного врача</w:t>
            </w: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В.В.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Кудря</w:t>
            </w:r>
            <w:proofErr w:type="spellEnd"/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644" w:type="dxa"/>
            <w:gridSpan w:val="6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Первый заместитель генерального директора</w:t>
            </w:r>
          </w:p>
        </w:tc>
        <w:tc>
          <w:tcPr>
            <w:tcW w:w="11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212" w:type="dxa"/>
            <w:gridSpan w:val="5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Е.Н. Стрелин</w:t>
            </w:r>
          </w:p>
        </w:tc>
        <w:tc>
          <w:tcPr>
            <w:tcW w:w="2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5"/>
          <w:wAfter w:w="824" w:type="dxa"/>
          <w:trHeight w:val="255"/>
        </w:trPr>
        <w:tc>
          <w:tcPr>
            <w:tcW w:w="2228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2181" w:type="dxa"/>
            <w:gridSpan w:val="6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(ФИО)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44" w:type="dxa"/>
            <w:gridSpan w:val="9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11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12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(ФИО)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gridAfter w:val="5"/>
          <w:wAfter w:w="824" w:type="dxa"/>
          <w:trHeight w:val="60"/>
        </w:trPr>
        <w:tc>
          <w:tcPr>
            <w:tcW w:w="1992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МП</w:t>
            </w:r>
          </w:p>
        </w:tc>
        <w:tc>
          <w:tcPr>
            <w:tcW w:w="2653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774" w:type="dxa"/>
            <w:gridSpan w:val="1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МП</w:t>
            </w:r>
          </w:p>
        </w:tc>
        <w:tc>
          <w:tcPr>
            <w:tcW w:w="2212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0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26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386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4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0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114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20"/>
              </w:rPr>
            </w:pPr>
          </w:p>
        </w:tc>
      </w:tr>
      <w:tr w:rsidR="000C52AC" w:rsidTr="000C52AC">
        <w:trPr>
          <w:trHeight w:val="60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86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74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12" w:type="dxa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0C52AC" w:rsidRDefault="000C52AC" w:rsidP="000C52AC">
      <w:pPr>
        <w:pStyle w:val="Standard"/>
      </w:pPr>
    </w:p>
    <w:p w:rsidR="000C52AC" w:rsidRDefault="000C52AC" w:rsidP="000C52AC">
      <w:pPr>
        <w:spacing w:after="0"/>
        <w:rPr>
          <w:vanish/>
        </w:rPr>
      </w:pPr>
      <w:r>
        <w:rPr>
          <w:kern w:val="0"/>
        </w:rPr>
        <w:br w:type="page"/>
      </w:r>
    </w:p>
    <w:tbl>
      <w:tblPr>
        <w:tblW w:w="123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"/>
        <w:gridCol w:w="947"/>
        <w:gridCol w:w="946"/>
        <w:gridCol w:w="946"/>
        <w:gridCol w:w="947"/>
        <w:gridCol w:w="946"/>
        <w:gridCol w:w="1976"/>
        <w:gridCol w:w="1134"/>
        <w:gridCol w:w="946"/>
        <w:gridCol w:w="2568"/>
      </w:tblGrid>
      <w:tr w:rsidR="000C52AC" w:rsidTr="000C52AC">
        <w:trPr>
          <w:gridAfter w:val="2"/>
          <w:wAfter w:w="3514" w:type="dxa"/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19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 w:rsidP="000C52AC">
            <w:pPr>
              <w:pStyle w:val="Standard"/>
              <w:spacing w:after="0" w:line="240" w:lineRule="auto"/>
              <w:ind w:left="-684" w:right="317" w:firstLine="684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Приложение №1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19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к договору на оказание платных услуг</w:t>
            </w:r>
          </w:p>
        </w:tc>
        <w:tc>
          <w:tcPr>
            <w:tcW w:w="351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gridAfter w:val="2"/>
          <w:wAfter w:w="3514" w:type="dxa"/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от ___________2022 № 941</w:t>
            </w:r>
          </w:p>
        </w:tc>
        <w:tc>
          <w:tcPr>
            <w:tcW w:w="311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gridAfter w:val="2"/>
          <w:wAfter w:w="3514" w:type="dxa"/>
          <w:trHeight w:val="30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Спецификация</w:t>
            </w:r>
          </w:p>
        </w:tc>
        <w:tc>
          <w:tcPr>
            <w:tcW w:w="6895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54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№</w:t>
            </w:r>
            <w:r>
              <w:rPr>
                <w:rFonts w:ascii="Arial" w:hAnsi="Arial"/>
                <w:sz w:val="18"/>
                <w:szCs w:val="18"/>
              </w:rPr>
              <w:br/>
              <w:t>п/п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Код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Наименование платной услуги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Кол-во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Цена (руб.)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НДС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Сумма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30.49.48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взвешенных веществ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707,00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471,33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2 828,00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30.49.7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Лабораторные исследования воды питьевой, в том числе, упакованной, воды водоемов: определение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рH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(водородный показатель)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235,00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156,67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940,00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30.49.9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общей минерал</w:t>
            </w:r>
            <w:r>
              <w:rPr>
                <w:rFonts w:ascii="Arial" w:hAnsi="Arial"/>
                <w:sz w:val="18"/>
                <w:szCs w:val="18"/>
              </w:rPr>
              <w:lastRenderedPageBreak/>
              <w:t>изации (сухой остаток)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lastRenderedPageBreak/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849,00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566,00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3 396,00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30.49.42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Лабораторные исследования воды питьевой, в том числе, упакованной, воды водоемов: определение окисляемости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перманганатной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(титриметрическим методом)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401,00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267,33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1 604,00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30.49.11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аммиака фотометрическим методом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164,00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109,33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656,00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30.49.12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нитратов фотометрическим методом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566,00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377,33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2 264,00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30.49.13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нитритов фотометрическим методом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354,00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236,00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1 416,00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30.49.41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хлоридов титриметрическим методом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141,00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94,00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564,00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30.49.14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сульфатов фотометрическим методом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331,00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220,67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1 324,00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30.49.51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Лабораторные исследования воды питьевой, в том </w:t>
            </w:r>
            <w:r>
              <w:rPr>
                <w:rFonts w:ascii="Arial" w:hAnsi="Arial"/>
                <w:sz w:val="18"/>
                <w:szCs w:val="18"/>
              </w:rPr>
              <w:lastRenderedPageBreak/>
              <w:t>числе, упакованной, воды водоемов: определение нефтепродуктов ИК-спектрофотометрическим методом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lastRenderedPageBreak/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849,00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566,00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3 396,00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БПК 5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2 144,00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1 429,33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8 576,00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  <w:tr w:rsidR="000C52AC" w:rsidTr="000C52AC">
        <w:trPr>
          <w:trHeight w:val="60"/>
        </w:trPr>
        <w:tc>
          <w:tcPr>
            <w:tcW w:w="9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30.49.26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Лабораторные исследования воды питьевой, в том числе, упакованной, воды водоемов: определение железа общего, железа (II), железа (III) фотометрическим методом. Стоимость одного показателя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усл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401,00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267,33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C" w:rsidRDefault="000C52AC">
            <w:pPr>
              <w:pStyle w:val="Standard"/>
              <w:spacing w:after="0" w:line="240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1 604,00</w:t>
            </w:r>
          </w:p>
        </w:tc>
        <w:tc>
          <w:tcPr>
            <w:tcW w:w="2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C" w:rsidRDefault="000C52AC">
            <w:pPr>
              <w:pStyle w:val="Standard"/>
              <w:spacing w:after="0" w:line="240" w:lineRule="auto"/>
              <w:rPr>
                <w:rFonts w:ascii="Arial" w:hAnsi="Arial"/>
                <w:sz w:val="16"/>
                <w:szCs w:val="18"/>
              </w:rPr>
            </w:pPr>
          </w:p>
        </w:tc>
      </w:tr>
    </w:tbl>
    <w:p w:rsidR="00F711C5" w:rsidRPr="000C52AC" w:rsidRDefault="00F711C5" w:rsidP="000C52AC"/>
    <w:sectPr w:rsidR="00F711C5" w:rsidRPr="000C52AC" w:rsidSect="000C52AC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CED"/>
    <w:rsid w:val="000C52AC"/>
    <w:rsid w:val="003E32C8"/>
    <w:rsid w:val="009F72E1"/>
    <w:rsid w:val="00DF3CED"/>
    <w:rsid w:val="00F7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9591A-920F-47A5-9DBB-89D9057E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2AC"/>
    <w:pPr>
      <w:widowControl w:val="0"/>
      <w:suppressAutoHyphens/>
      <w:autoSpaceDN w:val="0"/>
      <w:spacing w:line="254" w:lineRule="auto"/>
    </w:pPr>
    <w:rPr>
      <w:rFonts w:ascii="Calibri" w:eastAsia="SimSun" w:hAnsi="Calibri" w:cs="F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2C8"/>
    <w:pPr>
      <w:widowControl/>
      <w:suppressAutoHyphens w:val="0"/>
      <w:autoSpaceDN/>
      <w:spacing w:after="0" w:line="240" w:lineRule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E32C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C52AC"/>
    <w:pPr>
      <w:suppressAutoHyphens/>
      <w:autoSpaceDN w:val="0"/>
      <w:spacing w:line="254" w:lineRule="auto"/>
    </w:pPr>
    <w:rPr>
      <w:rFonts w:ascii="Calibri" w:eastAsia="SimSun" w:hAnsi="Calibri" w:cs="F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1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2964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Kotkov Roman Nikolaevich</dc:creator>
  <cp:keywords/>
  <dc:description/>
  <cp:lastModifiedBy>Мухатова Гульжан Бактгереевна</cp:lastModifiedBy>
  <cp:revision>5</cp:revision>
  <cp:lastPrinted>2022-05-26T06:39:00Z</cp:lastPrinted>
  <dcterms:created xsi:type="dcterms:W3CDTF">2022-05-26T06:38:00Z</dcterms:created>
  <dcterms:modified xsi:type="dcterms:W3CDTF">2022-05-26T11:27:00Z</dcterms:modified>
</cp:coreProperties>
</file>